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B27" w:rsidRDefault="00AB7B27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937BA4" w:rsidRDefault="00937BA4" w:rsidP="00937BA4">
      <w:pPr>
        <w:framePr w:hSpace="141" w:wrap="auto" w:vAnchor="text" w:hAnchor="page" w:x="6289" w:y="-1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>
            <wp:extent cx="55245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567"/>
        <w:gridCol w:w="855"/>
        <w:gridCol w:w="421"/>
      </w:tblGrid>
      <w:tr w:rsidR="00937BA4" w:rsidTr="00937BA4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37BA4" w:rsidRDefault="00937BA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>АДМИНИСТРАЦИЯ</w:t>
            </w:r>
          </w:p>
          <w:p w:rsidR="00937BA4" w:rsidRDefault="00937BA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</w:rPr>
              <w:t>МУНИЦИПАЛЬНОГО ОБРАЗОВАНИЯ</w:t>
            </w:r>
          </w:p>
          <w:p w:rsidR="00937BA4" w:rsidRDefault="00937BA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ГОРОДСКОГО ОКРУГА</w:t>
            </w:r>
          </w:p>
          <w:p w:rsidR="00937BA4" w:rsidRDefault="00937BA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</w:rPr>
              <w:t>«УХТА»</w:t>
            </w:r>
          </w:p>
          <w:p w:rsidR="00937BA4" w:rsidRDefault="00937B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Cs w:val="20"/>
              </w:rPr>
              <w:t>КАР  КЫТШЛ</w:t>
            </w:r>
            <w:proofErr w:type="gramEnd"/>
            <w:r>
              <w:rPr>
                <w:rFonts w:ascii="Times New Roman" w:eastAsia="Times New Roman" w:hAnsi="Times New Roman"/>
                <w:szCs w:val="20"/>
              </w:rPr>
              <w:t>ÖН</w:t>
            </w:r>
          </w:p>
          <w:p w:rsidR="00937BA4" w:rsidRDefault="00937BA4">
            <w:pPr>
              <w:widowControl w:val="0"/>
              <w:tabs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МУНИЦИПАЛЬНÖ</w:t>
            </w:r>
            <w:proofErr w:type="gramStart"/>
            <w:r>
              <w:rPr>
                <w:rFonts w:ascii="Times New Roman" w:eastAsia="Times New Roman" w:hAnsi="Times New Roman"/>
              </w:rPr>
              <w:t>Й  ЮК</w:t>
            </w:r>
            <w:proofErr w:type="gramEnd"/>
            <w:r>
              <w:rPr>
                <w:rFonts w:ascii="Times New Roman" w:eastAsia="Times New Roman" w:hAnsi="Times New Roman"/>
              </w:rPr>
              <w:t>ÖНСА</w:t>
            </w:r>
          </w:p>
          <w:p w:rsidR="00937BA4" w:rsidRDefault="00937BA4">
            <w:pPr>
              <w:keepNext/>
              <w:widowControl w:val="0"/>
              <w:jc w:val="center"/>
              <w:outlineLvl w:val="1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АДМИНИСТРАЦИЯ</w:t>
            </w:r>
          </w:p>
          <w:p w:rsidR="00937BA4" w:rsidRDefault="00937BA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ar-SA"/>
              </w:rPr>
            </w:pPr>
          </w:p>
        </w:tc>
      </w:tr>
      <w:tr w:rsidR="00937BA4" w:rsidTr="00937BA4">
        <w:trPr>
          <w:cantSplit/>
          <w:trHeight w:val="75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keepNext/>
              <w:spacing w:after="120"/>
              <w:jc w:val="center"/>
              <w:outlineLvl w:val="1"/>
              <w:rPr>
                <w:rFonts w:ascii="Times New Roman" w:hAnsi="Times New Roman"/>
                <w:bCs/>
                <w:sz w:val="38"/>
              </w:rPr>
            </w:pPr>
            <w:r>
              <w:rPr>
                <w:rFonts w:ascii="Times New Roman" w:eastAsia="Times New Roman" w:hAnsi="Times New Roman"/>
                <w:bCs/>
                <w:sz w:val="38"/>
              </w:rPr>
              <w:t>ПОСТАНОВЛЕНИЕ</w:t>
            </w:r>
          </w:p>
          <w:p w:rsidR="00937BA4" w:rsidRDefault="00937BA4">
            <w:pPr>
              <w:keepNext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</w:rPr>
            </w:pPr>
            <w:r>
              <w:rPr>
                <w:rFonts w:ascii="Times New Roman" w:eastAsia="Times New Roman" w:hAnsi="Times New Roman"/>
                <w:bCs/>
                <w:kern w:val="32"/>
                <w:sz w:val="38"/>
                <w:szCs w:val="32"/>
              </w:rPr>
              <w:t>ШУÖМ</w:t>
            </w:r>
          </w:p>
          <w:p w:rsidR="00937BA4" w:rsidRDefault="00937BA4">
            <w:pPr>
              <w:keepNext/>
              <w:jc w:val="center"/>
              <w:outlineLvl w:val="1"/>
              <w:rPr>
                <w:rFonts w:ascii="Times New Roman" w:eastAsia="Times New Roman" w:hAnsi="Times New Roman"/>
                <w:bCs/>
                <w:sz w:val="28"/>
              </w:rPr>
            </w:pPr>
          </w:p>
        </w:tc>
      </w:tr>
      <w:tr w:rsidR="00937BA4" w:rsidTr="00937BA4">
        <w:trPr>
          <w:trHeight w:val="66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20 октября 2020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37BA4" w:rsidRDefault="00C33D19">
            <w:pPr>
              <w:widowControl w:val="0"/>
              <w:tabs>
                <w:tab w:val="center" w:pos="317"/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0"/>
                <w:lang w:eastAsia="ar-SA"/>
              </w:rPr>
              <w:t>2900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0"/>
                <w:lang w:eastAsia="ar-SA"/>
              </w:rPr>
            </w:pPr>
          </w:p>
        </w:tc>
      </w:tr>
      <w:tr w:rsidR="00937BA4" w:rsidTr="00937BA4">
        <w:trPr>
          <w:trHeight w:val="6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г.Ухта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,  Республика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Коми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37BA4" w:rsidRDefault="00937BA4">
            <w:pPr>
              <w:widowControl w:val="0"/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937BA4" w:rsidRDefault="00937BA4" w:rsidP="00AB7B27">
      <w:pPr>
        <w:pStyle w:val="1"/>
        <w:shd w:val="clear" w:color="auto" w:fill="auto"/>
        <w:spacing w:after="0" w:line="240" w:lineRule="auto"/>
        <w:ind w:firstLine="0"/>
        <w:rPr>
          <w:sz w:val="28"/>
          <w:szCs w:val="28"/>
        </w:rPr>
      </w:pPr>
    </w:p>
    <w:p w:rsidR="006613EC" w:rsidRPr="00041D52" w:rsidRDefault="00041D52" w:rsidP="00937BA4">
      <w:pPr>
        <w:shd w:val="clear" w:color="auto" w:fill="FFFFFF"/>
        <w:ind w:right="38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41D52">
        <w:rPr>
          <w:rFonts w:ascii="Times New Roman" w:hAnsi="Times New Roman" w:cs="Times New Roman"/>
          <w:color w:val="auto"/>
          <w:sz w:val="28"/>
          <w:szCs w:val="28"/>
        </w:rPr>
        <w:t>О в</w:t>
      </w:r>
      <w:r w:rsidR="00937BA4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041D52">
        <w:rPr>
          <w:rFonts w:ascii="Times New Roman" w:hAnsi="Times New Roman" w:cs="Times New Roman"/>
          <w:color w:val="auto"/>
          <w:sz w:val="28"/>
          <w:szCs w:val="28"/>
        </w:rPr>
        <w:t>есении изменений в постановление администрации МОГО «Ухта» от 15</w:t>
      </w:r>
      <w:r w:rsidR="00937B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1D52">
        <w:rPr>
          <w:rFonts w:ascii="Times New Roman" w:hAnsi="Times New Roman" w:cs="Times New Roman"/>
          <w:color w:val="auto"/>
          <w:sz w:val="28"/>
          <w:szCs w:val="28"/>
        </w:rPr>
        <w:t>декабря 2017 г. №</w:t>
      </w:r>
      <w:r w:rsidR="00A522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041D52">
        <w:rPr>
          <w:rFonts w:ascii="Times New Roman" w:hAnsi="Times New Roman" w:cs="Times New Roman"/>
          <w:color w:val="auto"/>
          <w:sz w:val="28"/>
          <w:szCs w:val="28"/>
        </w:rPr>
        <w:t>4063 «</w:t>
      </w:r>
      <w:r w:rsidR="006613EC" w:rsidRPr="00041D52">
        <w:rPr>
          <w:rFonts w:ascii="Times New Roman" w:hAnsi="Times New Roman" w:cs="Times New Roman"/>
          <w:color w:val="auto"/>
          <w:sz w:val="28"/>
          <w:szCs w:val="28"/>
        </w:rPr>
        <w:t>Об одобрении прогноза социально-экономического</w:t>
      </w:r>
      <w:r w:rsidR="008D1DBB" w:rsidRPr="00041D5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613EC" w:rsidRPr="00041D52">
        <w:rPr>
          <w:rFonts w:ascii="Times New Roman" w:hAnsi="Times New Roman" w:cs="Times New Roman"/>
          <w:color w:val="auto"/>
          <w:sz w:val="28"/>
          <w:szCs w:val="28"/>
        </w:rPr>
        <w:t xml:space="preserve">развития муниципального образования городского округа «Ухта» </w:t>
      </w:r>
      <w:r w:rsidR="00322376" w:rsidRPr="00041D52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6613EC" w:rsidRPr="00041D52">
        <w:rPr>
          <w:rFonts w:ascii="Times New Roman" w:hAnsi="Times New Roman" w:cs="Times New Roman"/>
          <w:color w:val="auto"/>
          <w:sz w:val="28"/>
          <w:szCs w:val="28"/>
        </w:rPr>
        <w:t>период до 20</w:t>
      </w:r>
      <w:r w:rsidRPr="00041D52">
        <w:rPr>
          <w:rFonts w:ascii="Times New Roman" w:hAnsi="Times New Roman" w:cs="Times New Roman"/>
          <w:color w:val="auto"/>
          <w:sz w:val="28"/>
          <w:szCs w:val="28"/>
        </w:rPr>
        <w:t>35</w:t>
      </w:r>
      <w:r w:rsidR="006613EC" w:rsidRPr="00041D52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Pr="00041D52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322376" w:rsidRPr="00817B7E" w:rsidRDefault="00322376" w:rsidP="00322376">
      <w:pPr>
        <w:shd w:val="clear" w:color="auto" w:fill="FFFFFF"/>
        <w:ind w:right="524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22376" w:rsidRPr="00A522F4" w:rsidRDefault="00322376" w:rsidP="00937BA4">
      <w:pPr>
        <w:pStyle w:val="a9"/>
        <w:shd w:val="clear" w:color="auto" w:fill="FFFFFF"/>
        <w:tabs>
          <w:tab w:val="left" w:pos="398"/>
        </w:tabs>
        <w:spacing w:after="120"/>
        <w:ind w:left="0" w:firstLine="851"/>
        <w:contextualSpacing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22F4">
        <w:rPr>
          <w:rFonts w:ascii="Times New Roman" w:hAnsi="Times New Roman" w:cs="Times New Roman"/>
          <w:color w:val="auto"/>
          <w:sz w:val="28"/>
          <w:szCs w:val="28"/>
        </w:rPr>
        <w:t>В соответствии с</w:t>
      </w:r>
      <w:r w:rsidR="00912C88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22F4">
        <w:rPr>
          <w:rFonts w:ascii="Times New Roman" w:hAnsi="Times New Roman" w:cs="Times New Roman"/>
          <w:color w:val="auto"/>
          <w:sz w:val="28"/>
          <w:szCs w:val="28"/>
        </w:rPr>
        <w:t>постановлением администрации муниципального образования городского округа «Ухта» от 23</w:t>
      </w:r>
      <w:r w:rsidR="009B46B0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августа </w:t>
      </w:r>
      <w:r w:rsidR="00912C88" w:rsidRPr="00A522F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A522F4">
        <w:rPr>
          <w:rFonts w:ascii="Times New Roman" w:hAnsi="Times New Roman" w:cs="Times New Roman"/>
          <w:color w:val="auto"/>
          <w:sz w:val="28"/>
          <w:szCs w:val="28"/>
        </w:rPr>
        <w:t>017</w:t>
      </w:r>
      <w:r w:rsidR="00A522F4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="00912C88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22F4"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="00A522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522F4">
        <w:rPr>
          <w:rFonts w:ascii="Times New Roman" w:hAnsi="Times New Roman" w:cs="Times New Roman"/>
          <w:color w:val="auto"/>
          <w:sz w:val="28"/>
          <w:szCs w:val="28"/>
        </w:rPr>
        <w:t>2943 «Об утверждении Порядка разработки прогноза социально-экономического развития муниципального образования городского округа «Ухта» на средне</w:t>
      </w:r>
      <w:r w:rsidR="0005744C" w:rsidRPr="00A522F4">
        <w:rPr>
          <w:rFonts w:ascii="Times New Roman" w:hAnsi="Times New Roman" w:cs="Times New Roman"/>
          <w:color w:val="auto"/>
          <w:sz w:val="28"/>
          <w:szCs w:val="28"/>
        </w:rPr>
        <w:t>срочный и долгосрочный периоды»</w:t>
      </w:r>
      <w:r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администрация постановляет:</w:t>
      </w:r>
    </w:p>
    <w:p w:rsidR="00331B3F" w:rsidRPr="00A522F4" w:rsidRDefault="00322376" w:rsidP="003B6F8B">
      <w:pPr>
        <w:pStyle w:val="a9"/>
        <w:keepNext/>
        <w:shd w:val="clear" w:color="auto" w:fill="FFFFFF"/>
        <w:tabs>
          <w:tab w:val="left" w:pos="398"/>
        </w:tabs>
        <w:suppressAutoHyphens/>
        <w:spacing w:after="2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22F4">
        <w:rPr>
          <w:rFonts w:ascii="Times New Roman" w:hAnsi="Times New Roman" w:cs="Times New Roman"/>
          <w:color w:val="auto"/>
          <w:sz w:val="28"/>
          <w:szCs w:val="28"/>
        </w:rPr>
        <w:t>1.</w:t>
      </w:r>
      <w:r w:rsidR="00A522F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31B3F" w:rsidRPr="00A522F4">
        <w:rPr>
          <w:rFonts w:ascii="Times New Roman" w:hAnsi="Times New Roman" w:cs="Times New Roman"/>
          <w:color w:val="auto"/>
          <w:sz w:val="28"/>
          <w:szCs w:val="28"/>
        </w:rPr>
        <w:t>В постановление администрации МОГО</w:t>
      </w:r>
      <w:r w:rsidR="003B6F8B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«Ухта» от 15 декабря 2017 г. № </w:t>
      </w:r>
      <w:r w:rsidR="00331B3F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4063 «Об одобрении прогноза социально - экономического развития муниципального образования городского округа «Ухта» на период до 2035 года» (далее </w:t>
      </w:r>
      <w:r w:rsidR="003B6F8B" w:rsidRPr="00A522F4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331B3F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постановление) внести следующ</w:t>
      </w:r>
      <w:r w:rsidR="003B6F8B" w:rsidRPr="00A522F4">
        <w:rPr>
          <w:rFonts w:ascii="Times New Roman" w:hAnsi="Times New Roman" w:cs="Times New Roman"/>
          <w:color w:val="auto"/>
          <w:sz w:val="28"/>
          <w:szCs w:val="28"/>
        </w:rPr>
        <w:t>ие</w:t>
      </w:r>
      <w:r w:rsidR="00331B3F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 изменени</w:t>
      </w:r>
      <w:r w:rsidR="003B6F8B" w:rsidRPr="00A522F4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31B3F" w:rsidRPr="00A522F4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322376" w:rsidRPr="00A522F4" w:rsidRDefault="00331B3F" w:rsidP="00AD42A5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к постановлению изложить </w:t>
      </w:r>
      <w:r w:rsidR="003B6F8B" w:rsidRPr="00A522F4">
        <w:rPr>
          <w:rFonts w:ascii="Times New Roman" w:hAnsi="Times New Roman" w:cs="Times New Roman"/>
          <w:color w:val="auto"/>
          <w:sz w:val="28"/>
          <w:szCs w:val="28"/>
        </w:rPr>
        <w:t xml:space="preserve">в редакции </w:t>
      </w:r>
      <w:r w:rsidR="00322376" w:rsidRPr="00A522F4">
        <w:rPr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постановлению.</w:t>
      </w:r>
    </w:p>
    <w:p w:rsidR="00AB7B27" w:rsidRPr="00A522F4" w:rsidRDefault="00331B3F" w:rsidP="00AD42A5">
      <w:pPr>
        <w:pStyle w:val="a9"/>
        <w:shd w:val="clear" w:color="auto" w:fill="FFFFFF"/>
        <w:tabs>
          <w:tab w:val="left" w:pos="398"/>
        </w:tabs>
        <w:spacing w:after="20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22F4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322376" w:rsidRPr="00A522F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37BA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22376" w:rsidRPr="00A522F4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подлежит размещению на Официальном портале администрации МОГО «Ухта».</w:t>
      </w:r>
    </w:p>
    <w:p w:rsidR="00AB7B27" w:rsidRDefault="00AB7B27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937BA4" w:rsidRPr="00817B7E" w:rsidRDefault="00937BA4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6613EC" w:rsidRPr="00817B7E" w:rsidRDefault="006613EC" w:rsidP="00AB7B27">
      <w:pPr>
        <w:shd w:val="clear" w:color="auto" w:fill="FFFFFF"/>
        <w:tabs>
          <w:tab w:val="left" w:pos="1123"/>
        </w:tabs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6B4E8D" w:rsidRPr="00817B7E" w:rsidRDefault="007F13A5" w:rsidP="00AB7B27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17B7E">
        <w:rPr>
          <w:rFonts w:ascii="Times New Roman" w:hAnsi="Times New Roman" w:cs="Times New Roman"/>
          <w:color w:val="auto"/>
          <w:sz w:val="28"/>
          <w:szCs w:val="28"/>
        </w:rPr>
        <w:t>Глава МОГО «Ухта» -</w:t>
      </w:r>
      <w:r w:rsidR="006B4E8D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7B7E">
        <w:rPr>
          <w:rFonts w:ascii="Times New Roman" w:hAnsi="Times New Roman" w:cs="Times New Roman"/>
          <w:color w:val="auto"/>
          <w:sz w:val="28"/>
          <w:szCs w:val="28"/>
        </w:rPr>
        <w:t>руководитель</w:t>
      </w:r>
    </w:p>
    <w:p w:rsidR="00AB7B27" w:rsidRPr="00817B7E" w:rsidRDefault="007F13A5" w:rsidP="00AB7B27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817B7E">
        <w:rPr>
          <w:rFonts w:ascii="Times New Roman" w:hAnsi="Times New Roman" w:cs="Times New Roman"/>
          <w:color w:val="auto"/>
          <w:sz w:val="28"/>
          <w:szCs w:val="28"/>
        </w:rPr>
        <w:t>администрации</w:t>
      </w:r>
      <w:proofErr w:type="gramEnd"/>
      <w:r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МОГО «Ухта»      </w:t>
      </w:r>
      <w:r w:rsidR="00AB7B27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80DD7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="006B4E8D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C33D19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bookmarkStart w:id="0" w:name="_GoBack"/>
      <w:bookmarkEnd w:id="0"/>
      <w:r w:rsidR="006B4E8D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="00D80DD7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B7B27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 М.Н.</w:t>
      </w:r>
      <w:r w:rsidR="006B4E8D" w:rsidRPr="00817B7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B7B27" w:rsidRPr="00817B7E">
        <w:rPr>
          <w:rFonts w:ascii="Times New Roman" w:hAnsi="Times New Roman" w:cs="Times New Roman"/>
          <w:color w:val="auto"/>
          <w:sz w:val="28"/>
          <w:szCs w:val="28"/>
        </w:rPr>
        <w:t>Османов</w:t>
      </w:r>
    </w:p>
    <w:p w:rsidR="00734602" w:rsidRDefault="00734602" w:rsidP="00AB7B27">
      <w:pPr>
        <w:widowControl w:val="0"/>
        <w:jc w:val="both"/>
        <w:rPr>
          <w:rFonts w:ascii="Times New Roman" w:hAnsi="Times New Roman" w:cs="Times New Roman"/>
          <w:color w:val="auto"/>
          <w:sz w:val="28"/>
          <w:szCs w:val="28"/>
        </w:rPr>
        <w:sectPr w:rsidR="00734602" w:rsidSect="00C33D19">
          <w:pgSz w:w="11905" w:h="16837"/>
          <w:pgMar w:top="567" w:right="567" w:bottom="425" w:left="1701" w:header="0" w:footer="6" w:gutter="0"/>
          <w:cols w:space="720"/>
          <w:noEndnote/>
          <w:docGrid w:linePitch="360"/>
        </w:sectPr>
      </w:pPr>
    </w:p>
    <w:p w:rsidR="009B46B0" w:rsidRPr="00937BA4" w:rsidRDefault="009B46B0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r w:rsidRPr="00937BA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9B46B0" w:rsidRPr="00937BA4" w:rsidRDefault="009B46B0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7BA4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937BA4">
        <w:rPr>
          <w:rFonts w:ascii="Times New Roman" w:hAnsi="Times New Roman" w:cs="Times New Roman"/>
          <w:sz w:val="20"/>
          <w:szCs w:val="20"/>
        </w:rPr>
        <w:t xml:space="preserve"> постановлению</w:t>
      </w:r>
    </w:p>
    <w:p w:rsidR="009B46B0" w:rsidRPr="00937BA4" w:rsidRDefault="009B46B0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7BA4">
        <w:rPr>
          <w:rFonts w:ascii="Times New Roman" w:hAnsi="Times New Roman" w:cs="Times New Roman"/>
          <w:sz w:val="20"/>
          <w:szCs w:val="20"/>
        </w:rPr>
        <w:t>администрации</w:t>
      </w:r>
      <w:proofErr w:type="gramEnd"/>
      <w:r w:rsidRPr="00937BA4">
        <w:rPr>
          <w:rFonts w:ascii="Times New Roman" w:hAnsi="Times New Roman" w:cs="Times New Roman"/>
          <w:sz w:val="20"/>
          <w:szCs w:val="20"/>
        </w:rPr>
        <w:t xml:space="preserve"> МОГО «Ухта»</w:t>
      </w:r>
    </w:p>
    <w:p w:rsidR="003B6F8B" w:rsidRPr="00937BA4" w:rsidRDefault="003B6F8B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7BA4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7BA4">
        <w:rPr>
          <w:rFonts w:ascii="Times New Roman" w:hAnsi="Times New Roman" w:cs="Times New Roman"/>
          <w:sz w:val="20"/>
          <w:szCs w:val="20"/>
        </w:rPr>
        <w:t xml:space="preserve"> </w:t>
      </w:r>
      <w:r w:rsidR="00937BA4" w:rsidRPr="00937BA4">
        <w:rPr>
          <w:rFonts w:ascii="Times New Roman" w:hAnsi="Times New Roman" w:cs="Times New Roman"/>
          <w:sz w:val="20"/>
          <w:szCs w:val="20"/>
        </w:rPr>
        <w:t>20 октября 2020</w:t>
      </w:r>
      <w:r w:rsidRPr="00937BA4">
        <w:rPr>
          <w:rFonts w:ascii="Times New Roman" w:hAnsi="Times New Roman" w:cs="Times New Roman"/>
          <w:sz w:val="20"/>
          <w:szCs w:val="20"/>
        </w:rPr>
        <w:t xml:space="preserve"> г. № </w:t>
      </w:r>
      <w:r w:rsidR="00C33D19">
        <w:rPr>
          <w:rFonts w:ascii="Times New Roman" w:hAnsi="Times New Roman" w:cs="Times New Roman"/>
          <w:sz w:val="20"/>
          <w:szCs w:val="20"/>
        </w:rPr>
        <w:t>2900</w:t>
      </w:r>
    </w:p>
    <w:p w:rsidR="009B46B0" w:rsidRPr="00937BA4" w:rsidRDefault="009B46B0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</w:p>
    <w:p w:rsidR="00ED695E" w:rsidRPr="00937BA4" w:rsidRDefault="009B46B0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r w:rsidRPr="00937BA4">
        <w:rPr>
          <w:rFonts w:ascii="Times New Roman" w:hAnsi="Times New Roman" w:cs="Times New Roman"/>
          <w:sz w:val="20"/>
          <w:szCs w:val="20"/>
        </w:rPr>
        <w:t>«</w:t>
      </w:r>
      <w:r w:rsidR="00ED695E" w:rsidRPr="00937BA4">
        <w:rPr>
          <w:rFonts w:ascii="Times New Roman" w:hAnsi="Times New Roman" w:cs="Times New Roman"/>
          <w:sz w:val="20"/>
          <w:szCs w:val="20"/>
        </w:rPr>
        <w:t>Приложение</w:t>
      </w:r>
    </w:p>
    <w:p w:rsidR="00ED695E" w:rsidRPr="00937BA4" w:rsidRDefault="00ED695E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7BA4">
        <w:rPr>
          <w:rFonts w:ascii="Times New Roman" w:hAnsi="Times New Roman" w:cs="Times New Roman"/>
          <w:sz w:val="20"/>
          <w:szCs w:val="20"/>
        </w:rPr>
        <w:t>к</w:t>
      </w:r>
      <w:proofErr w:type="gramEnd"/>
      <w:r w:rsidRPr="00937BA4">
        <w:rPr>
          <w:rFonts w:ascii="Times New Roman" w:hAnsi="Times New Roman" w:cs="Times New Roman"/>
          <w:sz w:val="20"/>
          <w:szCs w:val="20"/>
        </w:rPr>
        <w:t xml:space="preserve"> постановлению</w:t>
      </w:r>
    </w:p>
    <w:p w:rsidR="00ED695E" w:rsidRPr="00937BA4" w:rsidRDefault="00ED695E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7BA4">
        <w:rPr>
          <w:rFonts w:ascii="Times New Roman" w:hAnsi="Times New Roman" w:cs="Times New Roman"/>
          <w:sz w:val="20"/>
          <w:szCs w:val="20"/>
        </w:rPr>
        <w:t>администрации</w:t>
      </w:r>
      <w:proofErr w:type="gramEnd"/>
      <w:r w:rsidRPr="00937BA4">
        <w:rPr>
          <w:rFonts w:ascii="Times New Roman" w:hAnsi="Times New Roman" w:cs="Times New Roman"/>
          <w:sz w:val="20"/>
          <w:szCs w:val="20"/>
        </w:rPr>
        <w:t xml:space="preserve"> МОГО «Ухта»</w:t>
      </w:r>
    </w:p>
    <w:p w:rsidR="003B6F8B" w:rsidRPr="00937BA4" w:rsidRDefault="003B6F8B" w:rsidP="00937BA4">
      <w:pPr>
        <w:ind w:firstLine="11766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937BA4">
        <w:rPr>
          <w:rFonts w:ascii="Times New Roman" w:hAnsi="Times New Roman" w:cs="Times New Roman"/>
          <w:sz w:val="20"/>
          <w:szCs w:val="20"/>
        </w:rPr>
        <w:t>от</w:t>
      </w:r>
      <w:proofErr w:type="gramEnd"/>
      <w:r w:rsidRPr="00937BA4">
        <w:rPr>
          <w:rFonts w:ascii="Times New Roman" w:hAnsi="Times New Roman" w:cs="Times New Roman"/>
          <w:sz w:val="20"/>
          <w:szCs w:val="20"/>
        </w:rPr>
        <w:t xml:space="preserve"> 15 декабря 2017 г. № 4063</w:t>
      </w:r>
    </w:p>
    <w:p w:rsidR="00ED695E" w:rsidRDefault="00ED695E" w:rsidP="0094235D">
      <w:pPr>
        <w:pStyle w:val="a4"/>
        <w:jc w:val="right"/>
        <w:rPr>
          <w:b w:val="0"/>
          <w:sz w:val="20"/>
          <w:szCs w:val="20"/>
          <w:highlight w:val="yellow"/>
        </w:rPr>
      </w:pPr>
    </w:p>
    <w:p w:rsidR="00ED695E" w:rsidRPr="00ED695E" w:rsidRDefault="00ED695E" w:rsidP="00ED69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95E">
        <w:rPr>
          <w:rFonts w:ascii="Times New Roman" w:hAnsi="Times New Roman" w:cs="Times New Roman"/>
          <w:b/>
          <w:sz w:val="28"/>
          <w:szCs w:val="28"/>
        </w:rPr>
        <w:t>Прогноз социально-экономического развития муниципального образования городского округа «Ухта»</w:t>
      </w:r>
    </w:p>
    <w:p w:rsidR="00ED695E" w:rsidRDefault="00322376" w:rsidP="001E11F7">
      <w:pPr>
        <w:pStyle w:val="a4"/>
      </w:pPr>
      <w:proofErr w:type="gramStart"/>
      <w:r>
        <w:t>на</w:t>
      </w:r>
      <w:proofErr w:type="gramEnd"/>
      <w:r>
        <w:t xml:space="preserve"> </w:t>
      </w:r>
      <w:r w:rsidR="00ED695E" w:rsidRPr="00ED695E">
        <w:t>период до 20</w:t>
      </w:r>
      <w:r w:rsidR="00041D52">
        <w:t>35</w:t>
      </w:r>
      <w:r w:rsidR="00ED695E" w:rsidRPr="00ED695E">
        <w:t xml:space="preserve"> года</w:t>
      </w:r>
    </w:p>
    <w:p w:rsidR="00322376" w:rsidRDefault="00322376" w:rsidP="00ED695E">
      <w:pPr>
        <w:pStyle w:val="a4"/>
        <w:rPr>
          <w:highlight w:val="yellow"/>
        </w:rPr>
      </w:pPr>
    </w:p>
    <w:p w:rsidR="00322376" w:rsidRDefault="00A522F4" w:rsidP="00937BA4">
      <w:pPr>
        <w:pStyle w:val="a4"/>
        <w:pBdr>
          <w:bottom w:val="single" w:sz="4" w:space="1" w:color="auto"/>
          <w:right w:val="single" w:sz="4" w:space="4" w:color="auto"/>
        </w:pBdr>
        <w:rPr>
          <w:highlight w:val="yellow"/>
        </w:rPr>
        <w:sectPr w:rsidR="00322376" w:rsidSect="00937BA4">
          <w:pgSz w:w="16837" w:h="11905" w:orient="landscape"/>
          <w:pgMar w:top="567" w:right="535" w:bottom="426" w:left="567" w:header="0" w:footer="6" w:gutter="0"/>
          <w:cols w:space="720"/>
          <w:noEndnote/>
          <w:docGrid w:linePitch="360"/>
        </w:sectPr>
      </w:pPr>
      <w:r w:rsidRPr="00A522F4">
        <w:rPr>
          <w:noProof/>
        </w:rPr>
        <w:drawing>
          <wp:inline distT="0" distB="0" distL="0" distR="0" wp14:anchorId="0EAD9D3A" wp14:editId="35757544">
            <wp:extent cx="10060940" cy="448648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940" cy="44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BA4" w:rsidRDefault="00937BA4" w:rsidP="00937BA4">
      <w:pPr>
        <w:pStyle w:val="a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2</w:t>
      </w:r>
    </w:p>
    <w:p w:rsidR="00322376" w:rsidRPr="00322376" w:rsidRDefault="00322376" w:rsidP="00322376">
      <w:pPr>
        <w:pStyle w:val="a4"/>
        <w:jc w:val="right"/>
        <w:rPr>
          <w:b w:val="0"/>
          <w:sz w:val="20"/>
          <w:szCs w:val="20"/>
        </w:rPr>
      </w:pPr>
      <w:r w:rsidRPr="00322376">
        <w:rPr>
          <w:b w:val="0"/>
          <w:sz w:val="20"/>
          <w:szCs w:val="20"/>
        </w:rPr>
        <w:t>Приложение</w:t>
      </w:r>
    </w:p>
    <w:p w:rsidR="00322376" w:rsidRPr="00322376" w:rsidRDefault="00322376" w:rsidP="00322376">
      <w:pPr>
        <w:pStyle w:val="a4"/>
        <w:jc w:val="right"/>
        <w:rPr>
          <w:b w:val="0"/>
          <w:sz w:val="20"/>
          <w:szCs w:val="20"/>
        </w:rPr>
      </w:pPr>
      <w:r w:rsidRPr="00322376">
        <w:rPr>
          <w:b w:val="0"/>
          <w:sz w:val="20"/>
          <w:szCs w:val="20"/>
        </w:rPr>
        <w:t>к прогнозу социально-экономического развития</w:t>
      </w:r>
    </w:p>
    <w:p w:rsidR="00322376" w:rsidRPr="00322376" w:rsidRDefault="00322376" w:rsidP="00322376">
      <w:pPr>
        <w:pStyle w:val="a4"/>
        <w:jc w:val="right"/>
        <w:rPr>
          <w:b w:val="0"/>
          <w:sz w:val="20"/>
          <w:szCs w:val="20"/>
        </w:rPr>
      </w:pPr>
      <w:r w:rsidRPr="00322376">
        <w:rPr>
          <w:b w:val="0"/>
          <w:sz w:val="20"/>
          <w:szCs w:val="20"/>
        </w:rPr>
        <w:t>муниципального образования городского округа «Ухта»</w:t>
      </w:r>
    </w:p>
    <w:p w:rsidR="00ED695E" w:rsidRDefault="00322376" w:rsidP="00322376">
      <w:pPr>
        <w:pStyle w:val="a4"/>
        <w:jc w:val="right"/>
        <w:rPr>
          <w:b w:val="0"/>
        </w:rPr>
      </w:pPr>
      <w:r w:rsidRPr="00322376">
        <w:rPr>
          <w:b w:val="0"/>
          <w:sz w:val="20"/>
          <w:szCs w:val="20"/>
        </w:rPr>
        <w:t>на период до 20</w:t>
      </w:r>
      <w:r>
        <w:rPr>
          <w:b w:val="0"/>
          <w:sz w:val="20"/>
          <w:szCs w:val="20"/>
        </w:rPr>
        <w:t>3</w:t>
      </w:r>
      <w:r w:rsidR="009B46B0">
        <w:rPr>
          <w:b w:val="0"/>
          <w:sz w:val="20"/>
          <w:szCs w:val="20"/>
        </w:rPr>
        <w:t>5</w:t>
      </w:r>
      <w:r w:rsidRPr="00322376">
        <w:rPr>
          <w:b w:val="0"/>
          <w:sz w:val="20"/>
          <w:szCs w:val="20"/>
        </w:rPr>
        <w:t xml:space="preserve"> года</w:t>
      </w:r>
    </w:p>
    <w:p w:rsidR="00322376" w:rsidRDefault="00322376" w:rsidP="00ED695E">
      <w:pPr>
        <w:suppressAutoHyphens/>
        <w:ind w:firstLine="567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ED695E" w:rsidRPr="006F6D83" w:rsidRDefault="00ED695E" w:rsidP="00ED695E">
      <w:pPr>
        <w:suppressAutoHyphens/>
        <w:ind w:firstLine="567"/>
        <w:jc w:val="center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b/>
          <w:color w:val="auto"/>
          <w:sz w:val="26"/>
          <w:szCs w:val="26"/>
        </w:rPr>
        <w:t>ПОЯСНИТЕЛЬНАЯ ЗАПИСКА</w:t>
      </w:r>
    </w:p>
    <w:p w:rsidR="00B87BC8" w:rsidRDefault="00ED695E" w:rsidP="00322376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к </w:t>
      </w:r>
      <w:r w:rsidR="00322376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рогноз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у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социально-экономического развития МОГО «Ухта» </w:t>
      </w:r>
    </w:p>
    <w:p w:rsidR="00ED695E" w:rsidRDefault="00322376" w:rsidP="00322376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22376">
        <w:rPr>
          <w:rFonts w:ascii="Times New Roman" w:hAnsi="Times New Roman" w:cs="Times New Roman"/>
          <w:color w:val="auto"/>
          <w:sz w:val="26"/>
          <w:szCs w:val="26"/>
        </w:rPr>
        <w:t>на период до 20</w:t>
      </w:r>
      <w:r w:rsidR="009B46B0">
        <w:rPr>
          <w:rFonts w:ascii="Times New Roman" w:hAnsi="Times New Roman" w:cs="Times New Roman"/>
          <w:color w:val="auto"/>
          <w:sz w:val="26"/>
          <w:szCs w:val="26"/>
        </w:rPr>
        <w:t>35</w:t>
      </w:r>
      <w:r w:rsidRPr="00322376">
        <w:rPr>
          <w:rFonts w:ascii="Times New Roman" w:hAnsi="Times New Roman" w:cs="Times New Roman"/>
          <w:color w:val="auto"/>
          <w:sz w:val="26"/>
          <w:szCs w:val="26"/>
        </w:rPr>
        <w:t xml:space="preserve"> года</w:t>
      </w:r>
    </w:p>
    <w:p w:rsidR="00322376" w:rsidRPr="006F6D83" w:rsidRDefault="00322376" w:rsidP="00322376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ED695E" w:rsidRPr="006F6D83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Прогноз социально-экономического развития МОГО «Ухта» </w:t>
      </w:r>
      <w:r w:rsidR="00322376" w:rsidRPr="00322376">
        <w:rPr>
          <w:rFonts w:ascii="Times New Roman" w:hAnsi="Times New Roman" w:cs="Times New Roman"/>
          <w:color w:val="auto"/>
          <w:sz w:val="26"/>
          <w:szCs w:val="26"/>
        </w:rPr>
        <w:t>на период до 20</w:t>
      </w:r>
      <w:r w:rsidR="009B46B0">
        <w:rPr>
          <w:rFonts w:ascii="Times New Roman" w:hAnsi="Times New Roman" w:cs="Times New Roman"/>
          <w:color w:val="auto"/>
          <w:sz w:val="26"/>
          <w:szCs w:val="26"/>
        </w:rPr>
        <w:t>35</w:t>
      </w:r>
      <w:r w:rsidR="00A522F4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322376" w:rsidRPr="00322376">
        <w:rPr>
          <w:rFonts w:ascii="Times New Roman" w:hAnsi="Times New Roman" w:cs="Times New Roman"/>
          <w:color w:val="auto"/>
          <w:sz w:val="26"/>
          <w:szCs w:val="26"/>
        </w:rPr>
        <w:t>года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(далее 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прогноз) </w:t>
      </w:r>
      <w:r w:rsidRPr="006F6D83">
        <w:rPr>
          <w:rFonts w:ascii="Times New Roman" w:hAnsi="Times New Roman" w:cs="Times New Roman"/>
          <w:bCs/>
          <w:color w:val="auto"/>
          <w:kern w:val="32"/>
          <w:sz w:val="26"/>
          <w:szCs w:val="26"/>
        </w:rPr>
        <w:t xml:space="preserve">разработан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в соответствии с постановлением администрации муниципального образования городского округа «Ухта» от</w:t>
      </w:r>
      <w:r w:rsidR="005D7F7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522F4">
        <w:rPr>
          <w:rFonts w:ascii="Times New Roman" w:hAnsi="Times New Roman" w:cs="Times New Roman"/>
          <w:color w:val="auto"/>
          <w:sz w:val="26"/>
          <w:szCs w:val="26"/>
        </w:rPr>
        <w:t>23 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августа</w:t>
      </w:r>
      <w:r w:rsidR="00A522F4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2017 г. №</w:t>
      </w:r>
      <w:r w:rsidR="00A522F4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2943 «Об утверждении Порядка разработки прогноза социально-экономического развития муниципального образования городского округа «Ухта» на среднесрочный и долгосрочный периоды». </w:t>
      </w:r>
    </w:p>
    <w:p w:rsidR="00ED695E" w:rsidRPr="006F6D83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Прогноз представлен в двух вариантах (</w:t>
      </w:r>
      <w:r w:rsidR="00852BA0">
        <w:rPr>
          <w:rFonts w:ascii="Times New Roman" w:hAnsi="Times New Roman" w:cs="Times New Roman"/>
          <w:color w:val="auto"/>
          <w:sz w:val="26"/>
          <w:szCs w:val="26"/>
        </w:rPr>
        <w:t xml:space="preserve">консервативный и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базовый)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учитывая вероятностные воздействия внутренних и внешних политических, экономических и иных факторов.</w:t>
      </w:r>
    </w:p>
    <w:p w:rsidR="00153029" w:rsidRPr="00153029" w:rsidRDefault="00153029" w:rsidP="0005744C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Консервативный вариант предполагает сохранение инерционных трендов, наблюдающихся в последний период с учетом сложившейся геополитической обстановки и ее последствий.</w:t>
      </w:r>
    </w:p>
    <w:p w:rsidR="00ED695E" w:rsidRDefault="00153029" w:rsidP="0005744C">
      <w:pPr>
        <w:suppressAutoHyphens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Базовый вариант предполагает снижение негативных последствий, связанных с ростом геополитической напряженности, и создание условий для более устойчивого долгосрочного роста</w:t>
      </w:r>
      <w:r w:rsidR="0005744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экономики</w:t>
      </w: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. </w:t>
      </w:r>
      <w:r w:rsidR="0005744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Такой вариант прогноза</w:t>
      </w:r>
      <w:r w:rsidRP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характеризует развитие экономики в условиях повышения доверия частного бизнеса к власти, применения дополнительных мер стимулирующего характера, связанных с расходами бюджета по финансированию новых инфраструктурных проектов, поддержанию кредитования наиболее уязвимых секторов экономики, увеличению финансирования развития человеческого капитала.</w:t>
      </w:r>
    </w:p>
    <w:p w:rsidR="00153029" w:rsidRPr="006F6D83" w:rsidRDefault="0015302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3B6F8B" w:rsidRDefault="003B6F8B" w:rsidP="00D524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B6F8B">
        <w:rPr>
          <w:rFonts w:ascii="Times New Roman" w:hAnsi="Times New Roman" w:cs="Times New Roman"/>
          <w:color w:val="auto"/>
          <w:sz w:val="26"/>
          <w:szCs w:val="26"/>
        </w:rPr>
        <w:t>Демография</w:t>
      </w:r>
    </w:p>
    <w:p w:rsidR="00D524FA" w:rsidRDefault="00ED695E" w:rsidP="00D524FA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>По данным Территориального органа федеральной службы государственной статистики по Республике Коми сред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негодовая численность населения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>МОГО «Ухта» составила в 201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г. 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>117,0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 тыс. человек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 xml:space="preserve">, в 2019 г. </w:t>
      </w:r>
      <w:r w:rsidR="00912C8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 xml:space="preserve"> 11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A036D9">
        <w:rPr>
          <w:rFonts w:ascii="Times New Roman" w:hAnsi="Times New Roman" w:cs="Times New Roman"/>
          <w:color w:val="auto"/>
          <w:sz w:val="26"/>
          <w:szCs w:val="26"/>
        </w:rPr>
        <w:t>98</w:t>
      </w:r>
      <w:r w:rsidR="00C15B6E">
        <w:rPr>
          <w:rFonts w:ascii="Times New Roman" w:hAnsi="Times New Roman" w:cs="Times New Roman"/>
          <w:color w:val="auto"/>
          <w:sz w:val="26"/>
          <w:szCs w:val="26"/>
        </w:rPr>
        <w:t xml:space="preserve"> тыс. человек</w:t>
      </w: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ED695E" w:rsidRDefault="00ED695E" w:rsidP="00D524FA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937BA4" w:rsidRDefault="00937BA4" w:rsidP="00D524FA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937BA4" w:rsidRDefault="00937BA4">
      <w:pPr>
        <w:spacing w:after="200"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937BA4" w:rsidRDefault="00937BA4" w:rsidP="00D524FA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3</w:t>
      </w:r>
    </w:p>
    <w:p w:rsidR="00937BA4" w:rsidRDefault="00937BA4" w:rsidP="00D524FA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D524FA" w:rsidRPr="006F6D83" w:rsidRDefault="00D524FA" w:rsidP="00D524FA">
      <w:pPr>
        <w:suppressAutoHyphens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Демография населения МОГО «Ухта»</w:t>
      </w:r>
    </w:p>
    <w:p w:rsidR="00ED695E" w:rsidRPr="006F6D83" w:rsidRDefault="00D524FA" w:rsidP="00D524FA">
      <w:pPr>
        <w:suppressAutoHyphens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  <w:r>
        <w:rPr>
          <w:noProof/>
        </w:rPr>
        <w:drawing>
          <wp:inline distT="0" distB="0" distL="0" distR="0" wp14:anchorId="439075D8" wp14:editId="1805A9F3">
            <wp:extent cx="6098458" cy="3178278"/>
            <wp:effectExtent l="0" t="0" r="0" b="31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D695E" w:rsidRPr="006F6D83" w:rsidRDefault="00ED695E" w:rsidP="0005744C">
      <w:pPr>
        <w:suppressAutoHyphens/>
        <w:ind w:firstLine="567"/>
        <w:jc w:val="center"/>
        <w:rPr>
          <w:rFonts w:ascii="Times New Roman" w:hAnsi="Times New Roman" w:cs="Times New Roman"/>
          <w:noProof/>
          <w:color w:val="auto"/>
          <w:sz w:val="26"/>
          <w:szCs w:val="26"/>
        </w:rPr>
      </w:pPr>
    </w:p>
    <w:p w:rsidR="00D524FA" w:rsidRDefault="00D524FA" w:rsidP="00D524FA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2020 году, по оценке, среднесписочная численность населения муниципального образования снизится по сравнению с уровнем 2019 года на 1,8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 и составит 112,88 тыс. человек. Доминирующей причиной сокращения численности населения продолжает являться миграционный отток населения. Значение показателя миграционной убыли в 2020 году ожидается на уровне 1,4 тыс. человек. </w:t>
      </w:r>
    </w:p>
    <w:p w:rsidR="001D2D88" w:rsidRDefault="001D2D88" w:rsidP="0005744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FB014F" w:rsidRDefault="001D2D88" w:rsidP="0005744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</w:t>
      </w:r>
      <w:r w:rsidR="00AD42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долго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срочный период по </w:t>
      </w:r>
      <w:r w:rsidR="00A469D8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обоим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вариантам прогноза ожидается сохранение тенденции к сокращению численности населения. 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результате среднегодовая численность населения к 20</w:t>
      </w:r>
      <w:r w:rsidR="00AD42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35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году по консервативному варианту составит </w:t>
      </w:r>
      <w:r w:rsidR="00AD42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93,82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 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тыс.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 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человек. По базовому варианту в результате более благоприятных внешних условий и более высокой эффективности реализуемых социальных мер среднегодовая численность населения в 20</w:t>
      </w:r>
      <w:r w:rsidR="00AD42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35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году составит </w:t>
      </w:r>
      <w:r w:rsidR="00AD42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94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</w:t>
      </w:r>
      <w:r w:rsidR="00AD42A5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71</w:t>
      </w:r>
      <w:r w:rsidR="00FB014F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тыс. человек.</w:t>
      </w:r>
    </w:p>
    <w:p w:rsidR="00ED695E" w:rsidRPr="006F6D83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ED695E" w:rsidRPr="000C0FC8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>Зан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ятость населения и оплата труда</w:t>
      </w:r>
    </w:p>
    <w:p w:rsidR="00ED695E" w:rsidRPr="006F6D83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>Демографическая ситуация на прогнозный период будет развиваться под влиянием сложившейся динамики рождаемости, смертности и миграции населения.</w:t>
      </w:r>
      <w:r w:rsidRPr="000C0F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Традиционно сохраняется превышение численности женского населения над численностью мужского населения. </w:t>
      </w:r>
      <w:r w:rsidRPr="000C0FC8">
        <w:rPr>
          <w:rStyle w:val="af"/>
          <w:rFonts w:ascii="Times New Roman" w:hAnsi="Times New Roman" w:cs="Times New Roman"/>
          <w:b w:val="0"/>
          <w:color w:val="auto"/>
          <w:sz w:val="26"/>
          <w:szCs w:val="26"/>
        </w:rPr>
        <w:t>Численность экономически активного населения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в 20</w:t>
      </w:r>
      <w:r w:rsidR="00EE6521" w:rsidRPr="000C0FC8">
        <w:rPr>
          <w:rFonts w:ascii="Times New Roman" w:hAnsi="Times New Roman" w:cs="Times New Roman"/>
          <w:color w:val="auto"/>
          <w:sz w:val="26"/>
          <w:szCs w:val="26"/>
        </w:rPr>
        <w:t>20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году оценивается на уровне </w:t>
      </w:r>
      <w:r w:rsidR="00A65237" w:rsidRPr="000C0FC8">
        <w:rPr>
          <w:rStyle w:val="af"/>
          <w:rFonts w:ascii="Times New Roman" w:hAnsi="Times New Roman" w:cs="Times New Roman"/>
          <w:b w:val="0"/>
          <w:color w:val="auto"/>
          <w:sz w:val="26"/>
          <w:szCs w:val="26"/>
        </w:rPr>
        <w:t>55 - 58</w:t>
      </w:r>
      <w:r w:rsidRPr="000C0FC8">
        <w:rPr>
          <w:rStyle w:val="af"/>
          <w:rFonts w:ascii="Times New Roman" w:hAnsi="Times New Roman" w:cs="Times New Roman"/>
          <w:b w:val="0"/>
          <w:color w:val="auto"/>
          <w:sz w:val="26"/>
          <w:szCs w:val="26"/>
        </w:rPr>
        <w:t xml:space="preserve"> тыс. человек</w:t>
      </w:r>
      <w:r w:rsidRPr="000C0FC8">
        <w:rPr>
          <w:rFonts w:ascii="Times New Roman" w:hAnsi="Times New Roman" w:cs="Times New Roman"/>
          <w:b/>
          <w:color w:val="auto"/>
          <w:sz w:val="26"/>
          <w:szCs w:val="26"/>
        </w:rPr>
        <w:t>.</w:t>
      </w:r>
    </w:p>
    <w:p w:rsidR="00A65237" w:rsidRDefault="00A65237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tbl>
      <w:tblPr>
        <w:tblW w:w="935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1131"/>
        <w:gridCol w:w="1334"/>
        <w:gridCol w:w="1305"/>
      </w:tblGrid>
      <w:tr w:rsidR="00A469D8" w:rsidRPr="0005744C" w:rsidTr="00A469D8">
        <w:trPr>
          <w:trHeight w:val="480"/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 изм.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1357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01.</w:t>
            </w:r>
            <w:r w:rsidR="001357C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  <w:r w:rsidR="0005744C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2019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1357C3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На 01.</w:t>
            </w:r>
            <w:r w:rsidR="001357C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0</w:t>
            </w:r>
            <w:r w:rsidR="0005744C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. 2020</w:t>
            </w:r>
          </w:p>
        </w:tc>
      </w:tr>
      <w:tr w:rsidR="00A469D8" w:rsidRPr="0005744C" w:rsidTr="00A469D8">
        <w:trPr>
          <w:trHeight w:val="390"/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граждан, о</w:t>
            </w:r>
            <w:r w:rsidR="0005744C"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братившихся в Центр занятости</w:t>
            </w: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за предоставлением государственной услуги по содействию в поиске подходящей работы с начала 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4370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4907</w:t>
            </w:r>
          </w:p>
        </w:tc>
      </w:tr>
      <w:tr w:rsidR="00A469D8" w:rsidRPr="0005744C" w:rsidTr="00A469D8">
        <w:trPr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трудоустроенных граждан с начала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3353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2352</w:t>
            </w:r>
          </w:p>
        </w:tc>
      </w:tr>
      <w:tr w:rsidR="00A469D8" w:rsidRPr="0005744C" w:rsidTr="00A469D8">
        <w:trPr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Численность граждан, признанных безработными с начала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человек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700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57C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2482</w:t>
            </w:r>
          </w:p>
        </w:tc>
      </w:tr>
      <w:tr w:rsidR="00A469D8" w:rsidRPr="0005744C" w:rsidTr="00A469D8">
        <w:trPr>
          <w:trHeight w:val="285"/>
          <w:jc w:val="center"/>
        </w:trPr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Количество вакансий заявленных с начала года</w:t>
            </w:r>
          </w:p>
        </w:tc>
        <w:tc>
          <w:tcPr>
            <w:tcW w:w="1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A469D8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744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ед.</w:t>
            </w:r>
          </w:p>
        </w:tc>
        <w:tc>
          <w:tcPr>
            <w:tcW w:w="1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10544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469D8" w:rsidRPr="0005744C" w:rsidRDefault="001357C3" w:rsidP="0005744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57C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9556</w:t>
            </w:r>
          </w:p>
        </w:tc>
      </w:tr>
    </w:tbl>
    <w:p w:rsidR="00937BA4" w:rsidRDefault="00937BA4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37BA4" w:rsidRDefault="00937BA4">
      <w:pPr>
        <w:spacing w:after="200" w:line="276" w:lineRule="auto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1357C3" w:rsidRDefault="00937BA4" w:rsidP="00937BA4">
      <w:pPr>
        <w:shd w:val="clear" w:color="auto" w:fill="FFFFFF"/>
        <w:ind w:firstLine="567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</w:p>
    <w:p w:rsidR="00937BA4" w:rsidRDefault="00937BA4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A65237" w:rsidRPr="00A65237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5237">
        <w:rPr>
          <w:rFonts w:ascii="Times New Roman" w:hAnsi="Times New Roman" w:cs="Times New Roman"/>
          <w:color w:val="auto"/>
          <w:sz w:val="26"/>
          <w:szCs w:val="26"/>
        </w:rPr>
        <w:t>Сравн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ив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значени</w:t>
      </w:r>
      <w:r w:rsidR="0005744C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>показателей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отражающих спрос и предложение рабочей силы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можно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сдела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ть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 вывод о стабильно высокой потребности в </w:t>
      </w:r>
      <w:r w:rsidR="00A65237" w:rsidRPr="00A65237">
        <w:rPr>
          <w:rFonts w:ascii="Times New Roman" w:hAnsi="Times New Roman" w:cs="Times New Roman"/>
          <w:color w:val="auto"/>
          <w:sz w:val="26"/>
          <w:szCs w:val="26"/>
        </w:rPr>
        <w:t xml:space="preserve">рабочей силе на территории </w:t>
      </w:r>
      <w:r w:rsidRPr="00A65237">
        <w:rPr>
          <w:rFonts w:ascii="Times New Roman" w:hAnsi="Times New Roman" w:cs="Times New Roman"/>
          <w:color w:val="auto"/>
          <w:sz w:val="26"/>
          <w:szCs w:val="26"/>
        </w:rPr>
        <w:t>МОГО «Ухта».</w:t>
      </w:r>
    </w:p>
    <w:p w:rsidR="00ED695E" w:rsidRPr="00A65237" w:rsidRDefault="00ED695E" w:rsidP="0005744C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5744C" w:rsidRDefault="00A65237" w:rsidP="0005744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Колебания регистрированной безработицы </w:t>
      </w:r>
    </w:p>
    <w:p w:rsidR="00A65237" w:rsidRDefault="00A65237" w:rsidP="0005744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за период с </w:t>
      </w:r>
      <w:r w:rsidR="001357C3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2018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года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по </w:t>
      </w:r>
      <w:r w:rsidR="001357C3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октябрь</w:t>
      </w:r>
      <w:r w:rsidR="008D1DB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2020 года</w:t>
      </w:r>
    </w:p>
    <w:p w:rsidR="001357C3" w:rsidRDefault="001357C3" w:rsidP="0005744C">
      <w:pPr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</w:p>
    <w:p w:rsidR="00A65237" w:rsidRPr="00A65237" w:rsidRDefault="001357C3" w:rsidP="0005744C">
      <w:pPr>
        <w:ind w:firstLine="567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noProof/>
        </w:rPr>
        <w:drawing>
          <wp:inline distT="0" distB="0" distL="0" distR="0" wp14:anchorId="6CEE6FFA" wp14:editId="587D4DA3">
            <wp:extent cx="5501148" cy="2743200"/>
            <wp:effectExtent l="0" t="0" r="2349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605B" w:rsidRDefault="00A65237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 </w:t>
      </w:r>
    </w:p>
    <w:p w:rsidR="002E605B" w:rsidRPr="002E605B" w:rsidRDefault="00A65237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Средняя продолжительность безработицы </w:t>
      </w:r>
      <w:r w:rsidR="001357C3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по состоянию на 01.10.2020 г</w:t>
      </w:r>
      <w:r w:rsidR="003B6F8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.</w:t>
      </w:r>
      <w:r w:rsidR="001357C3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составляет </w:t>
      </w:r>
      <w:r w:rsidR="001357C3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4,47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месяц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ев</w:t>
      </w:r>
      <w:r w:rsidRPr="00A6523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. </w:t>
      </w:r>
      <w:r w:rsidR="002E605B"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Период заполнения вакансий определяется следующими факторами:</w:t>
      </w:r>
    </w:p>
    <w:p w:rsidR="002E605B" w:rsidRP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э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кономической привлекательностью 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организаций и 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предприяти</w:t>
      </w:r>
      <w:r w:rsidR="00B60847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й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;</w:t>
      </w:r>
    </w:p>
    <w:p w:rsid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у</w:t>
      </w: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ровнем и регулярностью оплаты труда;</w:t>
      </w:r>
    </w:p>
    <w:p w:rsid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условиями труда;</w:t>
      </w:r>
    </w:p>
    <w:p w:rsidR="002E605B" w:rsidRDefault="002E605B" w:rsidP="0005744C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</w:pPr>
      <w:r w:rsidRPr="002E605B">
        <w:rPr>
          <w:rFonts w:ascii="Times New Roman" w:eastAsia="Times New Roman" w:hAnsi="Times New Roman" w:cs="Times New Roman"/>
          <w:color w:val="auto"/>
          <w:sz w:val="26"/>
          <w:szCs w:val="26"/>
          <w:shd w:val="clear" w:color="auto" w:fill="FFFFFF"/>
        </w:rPr>
        <w:t>- исполнительностью, инициативностью и активностью при поиске работы.</w:t>
      </w:r>
    </w:p>
    <w:p w:rsidR="00ED695E" w:rsidRPr="000C0FC8" w:rsidRDefault="00ED695E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F6D83">
        <w:rPr>
          <w:rFonts w:ascii="Times New Roman" w:hAnsi="Times New Roman" w:cs="Times New Roman"/>
          <w:color w:val="auto"/>
          <w:sz w:val="26"/>
          <w:szCs w:val="26"/>
        </w:rPr>
        <w:t xml:space="preserve">По данным работодателей организаций и предприятий города сохраняется потребность во врачебных кадрах, среднего медицинского персонала, рабочих в сфере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ЖКХ и работниках сферы обслуживания.</w:t>
      </w:r>
    </w:p>
    <w:p w:rsidR="00951EA9" w:rsidRPr="00A65BC8" w:rsidRDefault="00951EA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Изменение в МОГО «Ухта» и Республике Коми, как и в стране в целом, санитарно-эпидемиологической обстановки, произошедшее </w:t>
      </w:r>
      <w:r w:rsidR="0005744C" w:rsidRPr="00A65BC8">
        <w:rPr>
          <w:rFonts w:ascii="Times New Roman" w:hAnsi="Times New Roman" w:cs="Times New Roman"/>
          <w:color w:val="auto"/>
          <w:sz w:val="26"/>
          <w:szCs w:val="26"/>
        </w:rPr>
        <w:t>с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середин</w:t>
      </w:r>
      <w:r w:rsidR="0005744C" w:rsidRPr="00A65BC8">
        <w:rPr>
          <w:rFonts w:ascii="Times New Roman" w:hAnsi="Times New Roman" w:cs="Times New Roman"/>
          <w:color w:val="auto"/>
          <w:sz w:val="26"/>
          <w:szCs w:val="26"/>
        </w:rPr>
        <w:t>ы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марта 2020</w:t>
      </w:r>
      <w:r w:rsidR="00A522F4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года, введение режима самоизоляции, ограничительных мероприятий (карантина), переход на удаленную дистанционную работу существенно повлияли на ситуацию на рынке труда. По состоянию на </w:t>
      </w:r>
      <w:r w:rsidR="001357C3" w:rsidRPr="00A65BC8">
        <w:rPr>
          <w:rFonts w:ascii="Times New Roman" w:hAnsi="Times New Roman" w:cs="Times New Roman"/>
          <w:color w:val="auto"/>
          <w:sz w:val="26"/>
          <w:szCs w:val="26"/>
        </w:rPr>
        <w:t>01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1357C3" w:rsidRPr="00A65BC8">
        <w:rPr>
          <w:rFonts w:ascii="Times New Roman" w:hAnsi="Times New Roman" w:cs="Times New Roman"/>
          <w:color w:val="auto"/>
          <w:sz w:val="26"/>
          <w:szCs w:val="26"/>
        </w:rPr>
        <w:t>октября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2020 года численность зарегистрированных безработных составляла 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A522F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</w:rPr>
        <w:t>894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человека (на 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>1 января 2020 г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ода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- 28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</w:rPr>
        <w:t>1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человек), уровень зарегистрированной безработицы 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</w:rPr>
        <w:t>–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3,3 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% (на 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>1 января 2020 г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ода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 w:rsidRPr="00A65BC8">
        <w:rPr>
          <w:rFonts w:ascii="Times New Roman" w:hAnsi="Times New Roman" w:cs="Times New Roman"/>
          <w:color w:val="auto"/>
          <w:sz w:val="26"/>
          <w:szCs w:val="26"/>
        </w:rPr>
        <w:t>-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C0FC8" w:rsidRPr="00A65BC8">
        <w:rPr>
          <w:rFonts w:ascii="Times New Roman" w:hAnsi="Times New Roman" w:cs="Times New Roman"/>
          <w:color w:val="auto"/>
          <w:sz w:val="26"/>
          <w:szCs w:val="26"/>
        </w:rPr>
        <w:t>0,5</w:t>
      </w:r>
      <w:r w:rsidRPr="00A65BC8">
        <w:rPr>
          <w:rFonts w:ascii="Times New Roman" w:hAnsi="Times New Roman" w:cs="Times New Roman"/>
          <w:color w:val="auto"/>
          <w:sz w:val="26"/>
          <w:szCs w:val="26"/>
        </w:rPr>
        <w:t>%).</w:t>
      </w:r>
    </w:p>
    <w:p w:rsidR="001357C3" w:rsidRPr="00A65BC8" w:rsidRDefault="001357C3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Заявленная работодателями потребность в работниках на 01 октября 2020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г</w:t>
      </w:r>
      <w:r w:rsid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ода</w:t>
      </w:r>
      <w:r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состав</w:t>
      </w:r>
      <w:r w:rsidR="00A65BC8"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ляет </w:t>
      </w:r>
      <w:r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3</w:t>
      </w:r>
      <w:r w:rsidR="00A522F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610 вакансий, из них 2</w:t>
      </w:r>
      <w:r w:rsidR="00A522F4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A65BC8"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  <w:t>668 вакансий для замещения рабочих профессий.</w:t>
      </w:r>
    </w:p>
    <w:p w:rsidR="000C0FC8" w:rsidRPr="000C0FC8" w:rsidRDefault="00951EA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Указанные факторы создали значительные риски социального и экономического характера на ближайшую перспективу и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привели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к росту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зарегистрированной безработицы.</w:t>
      </w:r>
    </w:p>
    <w:p w:rsidR="00937BA4" w:rsidRDefault="00951EA9" w:rsidP="0005744C">
      <w:pPr>
        <w:suppressAutoHyphens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  <w:sectPr w:rsidR="00937BA4" w:rsidSect="0005744C">
          <w:pgSz w:w="11905" w:h="16837"/>
          <w:pgMar w:top="567" w:right="567" w:bottom="851" w:left="1701" w:header="0" w:footer="6" w:gutter="0"/>
          <w:cols w:space="720"/>
          <w:noEndnote/>
          <w:docGrid w:linePitch="360"/>
        </w:sectPr>
      </w:pP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В этой связи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уровень зарегистрированной безработицы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к концу 2020 года может составить </w:t>
      </w:r>
      <w:r w:rsidR="00D95FC0">
        <w:rPr>
          <w:rFonts w:ascii="Times New Roman" w:hAnsi="Times New Roman" w:cs="Times New Roman"/>
          <w:color w:val="auto"/>
          <w:sz w:val="26"/>
          <w:szCs w:val="26"/>
        </w:rPr>
        <w:t>3,1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%.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95FC0">
        <w:rPr>
          <w:rFonts w:ascii="Times New Roman" w:hAnsi="Times New Roman" w:cs="Times New Roman"/>
          <w:color w:val="auto"/>
          <w:sz w:val="26"/>
          <w:szCs w:val="26"/>
        </w:rPr>
        <w:t>В долгосрочном периоде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на фоне сокращения численности населения и изменения его возрастной структуры сохранится тенденция сокра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>щения численности рабочей силы. К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D95FC0">
        <w:rPr>
          <w:rFonts w:ascii="Times New Roman" w:hAnsi="Times New Roman" w:cs="Times New Roman"/>
          <w:color w:val="auto"/>
          <w:sz w:val="26"/>
          <w:szCs w:val="26"/>
        </w:rPr>
        <w:t>35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году 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среднесписочная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численность рабо</w:t>
      </w:r>
      <w:r w:rsidR="000C0FC8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тников организаций (без </w:t>
      </w:r>
    </w:p>
    <w:p w:rsidR="00937BA4" w:rsidRDefault="00937BA4" w:rsidP="00937BA4">
      <w:pPr>
        <w:suppressAutoHyphens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5</w:t>
      </w:r>
    </w:p>
    <w:p w:rsidR="00937BA4" w:rsidRDefault="00937BA4" w:rsidP="00937BA4">
      <w:pPr>
        <w:suppressAutoHyphens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51EA9" w:rsidRPr="000C0FC8" w:rsidRDefault="000C0FC8" w:rsidP="00937BA4">
      <w:pPr>
        <w:suppressAutoHyphens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0C0FC8">
        <w:rPr>
          <w:rFonts w:ascii="Times New Roman" w:hAnsi="Times New Roman" w:cs="Times New Roman"/>
          <w:color w:val="auto"/>
          <w:sz w:val="26"/>
          <w:szCs w:val="26"/>
        </w:rPr>
        <w:t>субъектов</w:t>
      </w:r>
      <w:proofErr w:type="gramEnd"/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малого предпринимательства) </w:t>
      </w:r>
      <w:r w:rsidR="00951EA9" w:rsidRPr="000C0FC8">
        <w:rPr>
          <w:rFonts w:ascii="Times New Roman" w:hAnsi="Times New Roman" w:cs="Times New Roman"/>
          <w:color w:val="auto"/>
          <w:sz w:val="26"/>
          <w:szCs w:val="26"/>
        </w:rPr>
        <w:t>сократится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и прогнозируется на уровне</w:t>
      </w:r>
      <w:r w:rsidR="00951EA9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95FC0">
        <w:rPr>
          <w:rFonts w:ascii="Times New Roman" w:hAnsi="Times New Roman" w:cs="Times New Roman"/>
          <w:color w:val="auto"/>
          <w:sz w:val="26"/>
          <w:szCs w:val="26"/>
        </w:rPr>
        <w:t>29,86</w:t>
      </w:r>
      <w:r w:rsidR="00951EA9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B60847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951EA9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D95FC0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D95FC0">
        <w:rPr>
          <w:rFonts w:ascii="Times New Roman" w:hAnsi="Times New Roman" w:cs="Times New Roman"/>
          <w:color w:val="auto"/>
          <w:sz w:val="26"/>
          <w:szCs w:val="26"/>
        </w:rPr>
        <w:t>60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тыс. человек</w:t>
      </w:r>
      <w:r w:rsidR="00951EA9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, уровень зарегистрированной безработицы составит </w:t>
      </w:r>
      <w:r w:rsidRPr="000C0FC8">
        <w:rPr>
          <w:rFonts w:ascii="Times New Roman" w:hAnsi="Times New Roman" w:cs="Times New Roman"/>
          <w:color w:val="auto"/>
          <w:sz w:val="26"/>
          <w:szCs w:val="26"/>
        </w:rPr>
        <w:t>0,50</w:t>
      </w:r>
      <w:r w:rsidR="00951EA9" w:rsidRPr="000C0FC8">
        <w:rPr>
          <w:rFonts w:ascii="Times New Roman" w:hAnsi="Times New Roman" w:cs="Times New Roman"/>
          <w:color w:val="auto"/>
          <w:sz w:val="26"/>
          <w:szCs w:val="26"/>
        </w:rPr>
        <w:t xml:space="preserve"> %.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 статистическим данным 2019 года по основным показателям, фиксирующим оплату труда в МОГО «Ухта», произошли следующие изменения: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ф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онд заработной платы, начисленной работникам списочного и </w:t>
      </w:r>
      <w:proofErr w:type="spellStart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несписочного</w:t>
      </w:r>
      <w:proofErr w:type="spellEnd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состава в организациях (без субъектов малого предпринимательства)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по итогам 2019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года составил 27 746 млн. рублей, или 104,1 % к уровню 2018 года;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реднемесячная номинальная начисленная заработная плата работников (без субъектов малого предпринимательства)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 2019 год увеличилась на 5,1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% по отношению к уровню 2018 года, составив 65,85 тыс. рублей;</w:t>
      </w:r>
    </w:p>
    <w:p w:rsidR="00704912" w:rsidRDefault="00704912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Положительная динамика </w:t>
      </w:r>
      <w:r w:rsidR="0005744C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значений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показателей обусловлена исполнением федерального законодательства о повышении 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</w:t>
      </w:r>
      <w:r w:rsidR="00B60847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инимальн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ого</w:t>
      </w:r>
      <w:r w:rsidR="00B60847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размер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а</w:t>
      </w:r>
      <w:r w:rsidR="00B60847" w:rsidRP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оплаты труда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, достижением и сохранением достигнутых соотношений заработной платы отдельных категорий работников бюджетной сферы, установленных 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«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майскими указами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2012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года, а также индексацией расходов на оплату труда.</w:t>
      </w:r>
    </w:p>
    <w:p w:rsidR="000457CB" w:rsidRDefault="00704912" w:rsidP="000457C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2020 году прогнозируется рост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реднемесячн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номинальн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начисленн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заработн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ой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плат</w:t>
      </w:r>
      <w:r w:rsidR="00B60847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ы</w:t>
      </w:r>
      <w:r w:rsidR="00725C9D"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работников (без субъектов малого предпринимательства)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4,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0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 к уровню 2019 года, фонда </w:t>
      </w:r>
      <w:r w:rsidR="00725C9D" w:rsidRP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заработной платы, начисленной работникам списочного и </w:t>
      </w:r>
      <w:proofErr w:type="spellStart"/>
      <w:r w:rsidR="00725C9D" w:rsidRP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несписочного</w:t>
      </w:r>
      <w:proofErr w:type="spellEnd"/>
      <w:r w:rsidR="00725C9D" w:rsidRP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состава в организациях (без субъектов малого предпринимательства)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на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0,7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%, который по итогам 2020 года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оценивается в размере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27 942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мл</w:t>
      </w:r>
      <w:r w:rsidR="00725C9D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н.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рублей.</w:t>
      </w:r>
    </w:p>
    <w:p w:rsidR="000457CB" w:rsidRDefault="000457CB" w:rsidP="000457C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 долгосрочном периоде продолжится обеспечение сбалансированного роста заработной платы работников государственных и муниципальных учреждений, сохранение достигнутого соотношения оплаты труда отдельных категорий работников бюджетной сферы к средней зарплате по региону.</w:t>
      </w:r>
    </w:p>
    <w:p w:rsidR="000457CB" w:rsidRDefault="000457CB" w:rsidP="000457CB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Задача реального повышения доходов населения будет реализована также через активизацию мотивов и стимулов к труду и предпринимательской деятельности, совершенствование системы социальной защиты населения, осуществление индексации установленных законодательством Республики Коми социальных расходных обязательств.</w:t>
      </w:r>
    </w:p>
    <w:p w:rsidR="00725C9D" w:rsidRPr="00725C9D" w:rsidRDefault="00725C9D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С учетом принимаемых мер ожидается повышение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 xml:space="preserve">значений 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>показателей, определяющих денежные доходы населения. Так, по итогам 20</w:t>
      </w:r>
      <w:r w:rsidR="000457CB">
        <w:rPr>
          <w:rFonts w:ascii="Times New Roman" w:hAnsi="Times New Roman" w:cs="Times New Roman"/>
          <w:color w:val="auto"/>
          <w:sz w:val="26"/>
          <w:szCs w:val="26"/>
        </w:rPr>
        <w:t>35</w:t>
      </w:r>
      <w:r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года (в консервативном и базовом вариантах соответственно):</w:t>
      </w:r>
    </w:p>
    <w:p w:rsidR="00725C9D" w:rsidRPr="00725C9D" w:rsidRDefault="00CF2FB8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реднемесячная номинальная начисленная заработная плата работников (без субъектов малого предпринимательства)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составит </w:t>
      </w:r>
      <w:r w:rsidR="000457CB">
        <w:rPr>
          <w:rFonts w:ascii="Times New Roman" w:hAnsi="Times New Roman" w:cs="Times New Roman"/>
          <w:color w:val="auto"/>
          <w:sz w:val="26"/>
          <w:szCs w:val="26"/>
        </w:rPr>
        <w:t>123,67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57CB">
        <w:rPr>
          <w:rFonts w:ascii="Times New Roman" w:hAnsi="Times New Roman" w:cs="Times New Roman"/>
          <w:color w:val="auto"/>
          <w:sz w:val="26"/>
          <w:szCs w:val="26"/>
        </w:rPr>
        <w:t>126,10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тыс. рублей;</w:t>
      </w:r>
    </w:p>
    <w:p w:rsidR="00725C9D" w:rsidRPr="000C0FC8" w:rsidRDefault="00CF2FB8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ф</w:t>
      </w:r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онд заработной платы, начисленной работникам списочного и </w:t>
      </w:r>
      <w:proofErr w:type="spellStart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несписочного</w:t>
      </w:r>
      <w:proofErr w:type="spellEnd"/>
      <w:r w:rsidRPr="00704912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состава в организациях (без субъектов малого предпринимательства) 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составит </w:t>
      </w:r>
      <w:r w:rsidR="000457CB">
        <w:rPr>
          <w:rFonts w:ascii="Times New Roman" w:hAnsi="Times New Roman" w:cs="Times New Roman"/>
          <w:color w:val="auto"/>
          <w:sz w:val="26"/>
          <w:szCs w:val="26"/>
        </w:rPr>
        <w:t>44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0457CB">
        <w:rPr>
          <w:rFonts w:ascii="Times New Roman" w:hAnsi="Times New Roman" w:cs="Times New Roman"/>
          <w:color w:val="auto"/>
          <w:sz w:val="26"/>
          <w:szCs w:val="26"/>
        </w:rPr>
        <w:t>363</w:t>
      </w:r>
      <w:r w:rsidR="003B6F8B">
        <w:rPr>
          <w:rFonts w:ascii="Times New Roman" w:hAnsi="Times New Roman" w:cs="Times New Roman"/>
          <w:color w:val="auto"/>
          <w:sz w:val="26"/>
          <w:szCs w:val="26"/>
        </w:rPr>
        <w:t> -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457CB">
        <w:rPr>
          <w:rFonts w:ascii="Times New Roman" w:hAnsi="Times New Roman" w:cs="Times New Roman"/>
          <w:color w:val="auto"/>
          <w:sz w:val="26"/>
          <w:szCs w:val="26"/>
        </w:rPr>
        <w:t>46 296</w:t>
      </w:r>
      <w:r w:rsidR="00725C9D" w:rsidRPr="00725C9D">
        <w:rPr>
          <w:rFonts w:ascii="Times New Roman" w:hAnsi="Times New Roman" w:cs="Times New Roman"/>
          <w:color w:val="auto"/>
          <w:sz w:val="26"/>
          <w:szCs w:val="26"/>
        </w:rPr>
        <w:t xml:space="preserve"> мл</w:t>
      </w:r>
      <w:r>
        <w:rPr>
          <w:rFonts w:ascii="Times New Roman" w:hAnsi="Times New Roman" w:cs="Times New Roman"/>
          <w:color w:val="auto"/>
          <w:sz w:val="26"/>
          <w:szCs w:val="26"/>
        </w:rPr>
        <w:t>н. рублей.</w:t>
      </w:r>
    </w:p>
    <w:p w:rsidR="00ED695E" w:rsidRDefault="00ED695E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D60F36" w:rsidRPr="00D60F36" w:rsidRDefault="00D60F36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0F36">
        <w:rPr>
          <w:rFonts w:ascii="Times New Roman" w:hAnsi="Times New Roman" w:cs="Times New Roman"/>
          <w:color w:val="auto"/>
          <w:sz w:val="26"/>
          <w:szCs w:val="26"/>
        </w:rPr>
        <w:t>Оборот организаций</w:t>
      </w:r>
    </w:p>
    <w:p w:rsidR="00D60F36" w:rsidRDefault="00D60F36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0F36">
        <w:rPr>
          <w:rFonts w:ascii="Times New Roman" w:hAnsi="Times New Roman" w:cs="Times New Roman"/>
          <w:color w:val="auto"/>
          <w:sz w:val="26"/>
          <w:szCs w:val="26"/>
        </w:rPr>
        <w:t>В оборот организаций включается стоимость отгруженных товаров собственного производства, выполненных работ и услуг собственными силами, а также выруч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ка от продажи приобретенных на 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>стороне товаров (без налога на добавленную стоимость, акцизов и других аналогичных обязательных платежей).</w:t>
      </w:r>
    </w:p>
    <w:p w:rsidR="00937BA4" w:rsidRDefault="00D60F36" w:rsidP="0005744C">
      <w:pPr>
        <w:suppressAutoHyphens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sectPr w:rsidR="00937BA4" w:rsidSect="0005744C">
          <w:pgSz w:w="11905" w:h="16837"/>
          <w:pgMar w:top="567" w:right="567" w:bottom="851" w:left="1701" w:header="0" w:footer="6" w:gutter="0"/>
          <w:cols w:space="720"/>
          <w:noEndnote/>
          <w:docGrid w:linePitch="360"/>
        </w:sect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 статистическим данным 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оборот организаций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 xml:space="preserve"> за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2019 год увеличился на 10,7</w:t>
      </w:r>
      <w:r w:rsidR="003B6F8B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 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 по сравнению с 2018 годом. 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Ожидается, что в 2020 году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оборот организаций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составит 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84,2 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% к уровню 2019 года. Безусловно, огромное влияние на снижение 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значения 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показателя окажет распространение </w:t>
      </w:r>
      <w:proofErr w:type="spellStart"/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коронавирусной</w:t>
      </w:r>
      <w:proofErr w:type="spellEnd"/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инфекции 2019-nCoV в России и ограничительные меры, принятые для борьбы с ней. В наиболее пострадавших отраслях, таких как</w:t>
      </w:r>
      <w:r w:rsidR="00F749B3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:</w:t>
      </w:r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розничная торговля, деятельность организаций дополнительного </w:t>
      </w:r>
    </w:p>
    <w:p w:rsidR="00937BA4" w:rsidRDefault="00937BA4" w:rsidP="00937BA4">
      <w:pPr>
        <w:suppressAutoHyphens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6</w:t>
      </w:r>
    </w:p>
    <w:p w:rsidR="00937BA4" w:rsidRDefault="00937BA4" w:rsidP="00937BA4">
      <w:pPr>
        <w:suppressAutoHyphens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D60F36" w:rsidRDefault="00D60F36" w:rsidP="00937BA4">
      <w:pPr>
        <w:suppressAutoHyphens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proofErr w:type="gramStart"/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образования</w:t>
      </w:r>
      <w:proofErr w:type="gramEnd"/>
      <w:r w:rsidRPr="00D60F36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, общественного питания, предоставление бытовых услуг населению, гостиничный бизнес, культура, организация досуга и развлечений, физкультурно-оздоровительная деятельность и спорт.</w:t>
      </w:r>
    </w:p>
    <w:p w:rsidR="003D678E" w:rsidRDefault="00D60F36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В </w:t>
      </w:r>
      <w:r w:rsidR="005C681E">
        <w:rPr>
          <w:rFonts w:ascii="Times New Roman" w:hAnsi="Times New Roman" w:cs="Times New Roman"/>
          <w:color w:val="auto"/>
          <w:sz w:val="26"/>
          <w:szCs w:val="26"/>
        </w:rPr>
        <w:t>долго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>срочном периоде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ожидается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 xml:space="preserve"> что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>оборот организаций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примет положительную динамику,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это</w:t>
      </w:r>
      <w:r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будет обусловлено увеличением объемов практически по всем видам деятельности.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К</w:t>
      </w:r>
      <w:r w:rsidR="003D678E"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20</w:t>
      </w:r>
      <w:r w:rsidR="005C681E">
        <w:rPr>
          <w:rFonts w:ascii="Times New Roman" w:hAnsi="Times New Roman" w:cs="Times New Roman"/>
          <w:color w:val="auto"/>
          <w:sz w:val="26"/>
          <w:szCs w:val="26"/>
        </w:rPr>
        <w:t>35</w:t>
      </w:r>
      <w:r w:rsidR="003D678E" w:rsidRPr="00D60F36">
        <w:rPr>
          <w:rFonts w:ascii="Times New Roman" w:hAnsi="Times New Roman" w:cs="Times New Roman"/>
          <w:color w:val="auto"/>
          <w:sz w:val="26"/>
          <w:szCs w:val="26"/>
        </w:rPr>
        <w:t xml:space="preserve"> году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оборот организаций прогнозируется на уровне </w:t>
      </w:r>
      <w:r w:rsidR="003D678E" w:rsidRPr="00725C9D">
        <w:rPr>
          <w:rFonts w:ascii="Times New Roman" w:hAnsi="Times New Roman" w:cs="Times New Roman"/>
          <w:color w:val="auto"/>
          <w:sz w:val="26"/>
          <w:szCs w:val="26"/>
        </w:rPr>
        <w:t>(в консервативном и базовом вариантах соответственно)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C681E">
        <w:rPr>
          <w:rFonts w:ascii="Times New Roman" w:hAnsi="Times New Roman" w:cs="Times New Roman"/>
          <w:color w:val="auto"/>
          <w:sz w:val="26"/>
          <w:szCs w:val="26"/>
        </w:rPr>
        <w:t>54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3 000 </w:t>
      </w:r>
      <w:r w:rsidR="00F749B3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C681E">
        <w:rPr>
          <w:rFonts w:ascii="Times New Roman" w:hAnsi="Times New Roman" w:cs="Times New Roman"/>
          <w:color w:val="auto"/>
          <w:sz w:val="26"/>
          <w:szCs w:val="26"/>
        </w:rPr>
        <w:t>550</w:t>
      </w:r>
      <w:r w:rsidR="003D678E">
        <w:rPr>
          <w:rFonts w:ascii="Times New Roman" w:hAnsi="Times New Roman" w:cs="Times New Roman"/>
          <w:color w:val="auto"/>
          <w:sz w:val="26"/>
          <w:szCs w:val="26"/>
        </w:rPr>
        <w:t> 000 млн. рублей.</w:t>
      </w:r>
    </w:p>
    <w:p w:rsidR="0005744C" w:rsidRDefault="0005744C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ED695E" w:rsidRDefault="00ED695E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D1DBB">
        <w:rPr>
          <w:rFonts w:ascii="Times New Roman" w:hAnsi="Times New Roman" w:cs="Times New Roman"/>
          <w:color w:val="auto"/>
          <w:sz w:val="26"/>
          <w:szCs w:val="26"/>
        </w:rPr>
        <w:t>Инвестиции</w:t>
      </w:r>
    </w:p>
    <w:p w:rsidR="00387951" w:rsidRPr="00387951" w:rsidRDefault="00387951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На территории МОГО «Ухта» в 2019 году реализованы следующие инвестиционные проекты: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«Проектирование по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техперевооружению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участка БОС – 1 этап» - ООО «ЛУКОЙЛ-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Ухтанефтепереработка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>». Цель и ожидаемый результат от реализации проекта: поэтапное снижение концентраций загрязняющих веществ на в</w:t>
      </w:r>
      <w:r>
        <w:rPr>
          <w:rFonts w:ascii="Times New Roman" w:hAnsi="Times New Roman" w:cs="Times New Roman"/>
          <w:color w:val="auto"/>
          <w:sz w:val="26"/>
          <w:szCs w:val="26"/>
        </w:rPr>
        <w:t>ыпуске сточных вод в реку Ухта;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</w:t>
      </w:r>
      <w:proofErr w:type="gram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объект «Узел связи в п. Дальний г.Ухта» - ООО «Газпром трансгаз Ухта» (построена мачта (МАР-35) высотой 35 м); 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  супермаркет «Провиант» на улице Наб. Газовиков г. Ухта;</w:t>
      </w:r>
    </w:p>
    <w:p w:rsid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введено нежилое здание автомобильного транспорта на улице Интернациональная, 50а г. Ухта;</w:t>
      </w:r>
    </w:p>
    <w:p w:rsidR="00387951" w:rsidRPr="00387951" w:rsidRDefault="00387951" w:rsidP="0005744C">
      <w:pPr>
        <w:pStyle w:val="a9"/>
        <w:numPr>
          <w:ilvl w:val="0"/>
          <w:numId w:val="9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введен многоквартирный 9-ти этажный жилой дом со встроенными нежилыми помещениями на 1 этаже в IV микрорайоне на улице М.К. Сидорова, д. 5 г. Ухта.</w:t>
      </w:r>
    </w:p>
    <w:p w:rsidR="00387951" w:rsidRPr="00387951" w:rsidRDefault="00387951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Осуществлен(а):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капитальный ремонт Ухтинской городской больницы №1 в пгт Шудаяг (инфекционного отделения, лор отделения, отделения онкологии, отделения неврологии, отделения травматологии с операционным блоком);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ремонт витражей большой ванны плавательного бассейна «Юность» в г. Ухта;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реконструкция моста в парке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КиО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в г. Ухта;</w:t>
      </w:r>
    </w:p>
    <w:p w:rsidR="00387951" w:rsidRPr="00387951" w:rsidRDefault="0005744C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auto"/>
          <w:sz w:val="26"/>
          <w:szCs w:val="26"/>
        </w:rPr>
        <w:t>реализация</w:t>
      </w:r>
      <w:proofErr w:type="gramEnd"/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387951" w:rsidRPr="00387951">
        <w:rPr>
          <w:rFonts w:ascii="Times New Roman" w:hAnsi="Times New Roman" w:cs="Times New Roman"/>
          <w:color w:val="auto"/>
          <w:sz w:val="26"/>
          <w:szCs w:val="26"/>
        </w:rPr>
        <w:t>1 и 2 этап</w:t>
      </w:r>
      <w:r>
        <w:rPr>
          <w:rFonts w:ascii="Times New Roman" w:hAnsi="Times New Roman" w:cs="Times New Roman"/>
          <w:color w:val="auto"/>
          <w:sz w:val="26"/>
          <w:szCs w:val="26"/>
        </w:rPr>
        <w:t>ов</w:t>
      </w:r>
      <w:r w:rsidR="00387951"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благоустройства Набережной газовиков в г. Ухта в рамках договора пожертвования между ООО «Газпром трансгаз Ухта» и администрацией МОГО «Ухта»;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обустройство и оборудование детской площадки для подготовки и выполнения норм комплекса ГТО в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Ухтинском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детском парке на территории спортивной школы №1;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установка рекреационной зоны возле закладного камня Фёдору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Прядунову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в рамках соглашения с ООО «ЛУКОЙЛ-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Ухтанефтепереработка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>» в районе дома быта «Сервис» в г.</w:t>
      </w:r>
      <w:r w:rsidR="00B87BC8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87951">
        <w:rPr>
          <w:rFonts w:ascii="Times New Roman" w:hAnsi="Times New Roman" w:cs="Times New Roman"/>
          <w:color w:val="auto"/>
          <w:sz w:val="26"/>
          <w:szCs w:val="26"/>
        </w:rPr>
        <w:t>Ухта;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замена асфальтового покрытия пешеходного перехода к зданию Ярегского дома культуры и площади перед зданием на покрытие из тротуарной плитки, а так же установлено металлическое ограждение газонов, скамейки для отдыха и урны;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>замена асфальтового покрытия Первомайской площади в г. Ухта и прилегающих тротуаров с заменой бордюрного камня;</w:t>
      </w:r>
    </w:p>
    <w:p w:rsidR="00387951" w:rsidRPr="00387951" w:rsidRDefault="00387951" w:rsidP="0005744C">
      <w:pPr>
        <w:pStyle w:val="a9"/>
        <w:numPr>
          <w:ilvl w:val="0"/>
          <w:numId w:val="10"/>
        </w:numPr>
        <w:suppressAutoHyphens/>
        <w:ind w:left="0"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замена покрытия тротуара и отремонтирован лестничный спуск путём бетонирования ступеней и обустройства пандуса по ул. </w:t>
      </w:r>
      <w:proofErr w:type="spellStart"/>
      <w:r w:rsidRPr="00387951">
        <w:rPr>
          <w:rFonts w:ascii="Times New Roman" w:hAnsi="Times New Roman" w:cs="Times New Roman"/>
          <w:color w:val="auto"/>
          <w:sz w:val="26"/>
          <w:szCs w:val="26"/>
        </w:rPr>
        <w:t>Шахтинской</w:t>
      </w:r>
      <w:proofErr w:type="spellEnd"/>
      <w:r w:rsidRPr="00387951">
        <w:rPr>
          <w:rFonts w:ascii="Times New Roman" w:hAnsi="Times New Roman" w:cs="Times New Roman"/>
          <w:color w:val="auto"/>
          <w:sz w:val="26"/>
          <w:szCs w:val="26"/>
        </w:rPr>
        <w:t xml:space="preserve"> в пгт Шудаяг.</w:t>
      </w:r>
    </w:p>
    <w:p w:rsidR="00387951" w:rsidRPr="008D1DBB" w:rsidRDefault="00387951" w:rsidP="0005744C">
      <w:pPr>
        <w:suppressAutoHyphens/>
        <w:ind w:firstLine="53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37BA4" w:rsidRDefault="00983B2D" w:rsidP="005C681E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sectPr w:rsidR="00937BA4" w:rsidSect="0005744C">
          <w:pgSz w:w="11905" w:h="16837"/>
          <w:pgMar w:top="567" w:right="567" w:bottom="851" w:left="1701" w:header="0" w:footer="6" w:gutter="0"/>
          <w:cols w:space="720"/>
          <w:noEndnote/>
          <w:docGrid w:linePitch="360"/>
        </w:sect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</w:t>
      </w:r>
      <w:r w:rsidR="005C681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долго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срочно</w:t>
      </w:r>
      <w:r w:rsidR="005C681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й перспективе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инвестиционная деятельность организаций будет зависеть как от общеэкономической ситуации в стране, так и от проводимых в </w:t>
      </w:r>
    </w:p>
    <w:p w:rsidR="00937BA4" w:rsidRDefault="00937BA4" w:rsidP="00937BA4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7</w:t>
      </w:r>
    </w:p>
    <w:p w:rsidR="00937BA4" w:rsidRDefault="00937BA4" w:rsidP="00937BA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:rsidR="005C681E" w:rsidRDefault="00983B2D" w:rsidP="00937BA4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proofErr w:type="gramStart"/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республике</w:t>
      </w:r>
      <w:proofErr w:type="gramEnd"/>
      <w:r w:rsidR="00153029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и муниципальном образовании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мероприятий по формированию благоприятных условий для ведения бизнеса и улучшению состояния инвестиционного климата</w:t>
      </w:r>
      <w:r w:rsidR="005C681E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, в том числе: </w:t>
      </w:r>
      <w:r w:rsidR="005C681E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развитие конкурентной среды, обеспечение роста доходов населения, развитие и реализация научного и инновационного потенциала, развитие малого и среднего предпринимательства.</w:t>
      </w:r>
    </w:p>
    <w:p w:rsidR="00153029" w:rsidRDefault="00153029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Р</w:t>
      </w:r>
      <w:r w:rsidRPr="00153029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осту инвестиционной активности будут способствовать снижение ставок по кредитам, повышение финансовой устойчивости предприятий и экономической уверенности производителей в условиях ожидания восстановления спроса на продукцию. </w:t>
      </w:r>
    </w:p>
    <w:p w:rsidR="00D411FD" w:rsidRPr="00983B2D" w:rsidRDefault="00153029" w:rsidP="0005744C">
      <w:pPr>
        <w:autoSpaceDE w:val="0"/>
        <w:autoSpaceDN w:val="0"/>
        <w:adjustRightInd w:val="0"/>
        <w:ind w:firstLine="53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О</w:t>
      </w:r>
      <w:r w:rsidR="00D411FD" w:rsidRPr="008D1DB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сновными </w:t>
      </w:r>
      <w:r w:rsidR="00D411FD" w:rsidRPr="00D411FD">
        <w:rPr>
          <w:rFonts w:ascii="Times New Roman" w:eastAsia="Times New Roman" w:hAnsi="Times New Roman" w:cs="Times New Roman"/>
          <w:sz w:val="26"/>
          <w:szCs w:val="26"/>
        </w:rPr>
        <w:t>локомотивами роста экономики - точками роста муниципального образования являются крупные инвестиционные проекты, такие как: «Разработка Ярегского нефтяного месторождения ООО «ЛУКОЙЛ-Коми», «Создание промышленного хаба по переработке нерудных материалов на базе Бельгопского месторождения».</w:t>
      </w:r>
    </w:p>
    <w:p w:rsidR="005C681E" w:rsidRDefault="005C681E" w:rsidP="005C681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В период до 2035 года ситуация в инвестиционной сфере будет складываться неоднозначно. Объем инвестиций в основной капитал (по консервативному и базовому вариантам) прогнозируется на уровне 33 400 </w:t>
      </w:r>
      <w:r w:rsidR="00A522F4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 xml:space="preserve"> 36 600 млн. рублей, соответственно. Достижение прогнозных значений показателя на долгосрочную перспективу, в первую очередь, будет зависеть от дальнейших стратегических планов развития крупнейших предприятий нефтегазовой отрасли на предстоящие периоды.».</w:t>
      </w:r>
    </w:p>
    <w:p w:rsidR="0089358B" w:rsidRDefault="0089358B" w:rsidP="00ED695E">
      <w:pPr>
        <w:pStyle w:val="a4"/>
        <w:rPr>
          <w:highlight w:val="yellow"/>
        </w:rPr>
      </w:pPr>
    </w:p>
    <w:p w:rsidR="0089358B" w:rsidRDefault="0089358B" w:rsidP="00ED695E">
      <w:pPr>
        <w:pStyle w:val="a4"/>
        <w:rPr>
          <w:highlight w:val="yellow"/>
        </w:rPr>
      </w:pPr>
    </w:p>
    <w:p w:rsidR="0089358B" w:rsidRPr="00937BA4" w:rsidRDefault="00937BA4" w:rsidP="00ED695E">
      <w:pPr>
        <w:pStyle w:val="a4"/>
      </w:pPr>
      <w:r w:rsidRPr="00937BA4">
        <w:t>_____________________________»</w:t>
      </w:r>
    </w:p>
    <w:sectPr w:rsidR="0089358B" w:rsidRPr="00937BA4" w:rsidSect="0005744C">
      <w:pgSz w:w="11905" w:h="16837"/>
      <w:pgMar w:top="567" w:right="567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7EB1"/>
    <w:multiLevelType w:val="hybridMultilevel"/>
    <w:tmpl w:val="1B0A93A8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5A0965"/>
    <w:multiLevelType w:val="hybridMultilevel"/>
    <w:tmpl w:val="11789FDA"/>
    <w:lvl w:ilvl="0" w:tplc="FEEEA002">
      <w:start w:val="1"/>
      <w:numFmt w:val="decimal"/>
      <w:lvlText w:val="%1"/>
      <w:lvlJc w:val="center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5EA1285"/>
    <w:multiLevelType w:val="hybridMultilevel"/>
    <w:tmpl w:val="725E197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E8C1B96"/>
    <w:multiLevelType w:val="hybridMultilevel"/>
    <w:tmpl w:val="7B98098E"/>
    <w:lvl w:ilvl="0" w:tplc="75CA4924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31FD7DE6"/>
    <w:multiLevelType w:val="multilevel"/>
    <w:tmpl w:val="4A12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37722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3DF05C12"/>
    <w:multiLevelType w:val="hybridMultilevel"/>
    <w:tmpl w:val="BADE50A6"/>
    <w:lvl w:ilvl="0" w:tplc="B176A95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B0F37"/>
    <w:multiLevelType w:val="hybridMultilevel"/>
    <w:tmpl w:val="D71E2A76"/>
    <w:lvl w:ilvl="0" w:tplc="C222035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D702C98"/>
    <w:multiLevelType w:val="hybridMultilevel"/>
    <w:tmpl w:val="F92822E8"/>
    <w:lvl w:ilvl="0" w:tplc="FEEEA00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2"/>
  </w:num>
  <w:num w:numId="7">
    <w:abstractNumId w:val="4"/>
  </w:num>
  <w:num w:numId="8">
    <w:abstractNumId w:val="6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B33"/>
    <w:rsid w:val="000054F0"/>
    <w:rsid w:val="00023571"/>
    <w:rsid w:val="0003320E"/>
    <w:rsid w:val="00041D52"/>
    <w:rsid w:val="00044544"/>
    <w:rsid w:val="000445A7"/>
    <w:rsid w:val="000457CB"/>
    <w:rsid w:val="0005744C"/>
    <w:rsid w:val="0006610B"/>
    <w:rsid w:val="0007111F"/>
    <w:rsid w:val="000824D6"/>
    <w:rsid w:val="00083848"/>
    <w:rsid w:val="000A3126"/>
    <w:rsid w:val="000A5E6C"/>
    <w:rsid w:val="000B43EE"/>
    <w:rsid w:val="000C0FC8"/>
    <w:rsid w:val="000C6E0B"/>
    <w:rsid w:val="000F0915"/>
    <w:rsid w:val="0010058D"/>
    <w:rsid w:val="0010644E"/>
    <w:rsid w:val="00107A55"/>
    <w:rsid w:val="00110E7D"/>
    <w:rsid w:val="001355F5"/>
    <w:rsid w:val="001357C3"/>
    <w:rsid w:val="00145F43"/>
    <w:rsid w:val="00153029"/>
    <w:rsid w:val="00154F5D"/>
    <w:rsid w:val="001813A1"/>
    <w:rsid w:val="00194F1E"/>
    <w:rsid w:val="001A0A53"/>
    <w:rsid w:val="001D2D88"/>
    <w:rsid w:val="001D5EAB"/>
    <w:rsid w:val="001E11F7"/>
    <w:rsid w:val="00220E29"/>
    <w:rsid w:val="00224105"/>
    <w:rsid w:val="00231936"/>
    <w:rsid w:val="002559D4"/>
    <w:rsid w:val="00267830"/>
    <w:rsid w:val="00267CFD"/>
    <w:rsid w:val="00292B1C"/>
    <w:rsid w:val="002B2F77"/>
    <w:rsid w:val="002E605B"/>
    <w:rsid w:val="002F0BB8"/>
    <w:rsid w:val="00322376"/>
    <w:rsid w:val="00331B3F"/>
    <w:rsid w:val="00331FB0"/>
    <w:rsid w:val="00332387"/>
    <w:rsid w:val="00335270"/>
    <w:rsid w:val="00352127"/>
    <w:rsid w:val="0037190F"/>
    <w:rsid w:val="0038260C"/>
    <w:rsid w:val="00387951"/>
    <w:rsid w:val="003A16DC"/>
    <w:rsid w:val="003B6F8B"/>
    <w:rsid w:val="003C05CA"/>
    <w:rsid w:val="003C4B33"/>
    <w:rsid w:val="003D678E"/>
    <w:rsid w:val="003F3D02"/>
    <w:rsid w:val="00404C85"/>
    <w:rsid w:val="004119B2"/>
    <w:rsid w:val="00415AB6"/>
    <w:rsid w:val="00430731"/>
    <w:rsid w:val="004457F9"/>
    <w:rsid w:val="00451161"/>
    <w:rsid w:val="00461EBC"/>
    <w:rsid w:val="004A5028"/>
    <w:rsid w:val="004D757F"/>
    <w:rsid w:val="005200D0"/>
    <w:rsid w:val="00526877"/>
    <w:rsid w:val="00527C97"/>
    <w:rsid w:val="005372D6"/>
    <w:rsid w:val="00555CAC"/>
    <w:rsid w:val="00581E06"/>
    <w:rsid w:val="005A13DE"/>
    <w:rsid w:val="005B7400"/>
    <w:rsid w:val="005C1994"/>
    <w:rsid w:val="005C681E"/>
    <w:rsid w:val="005D7F75"/>
    <w:rsid w:val="005E1876"/>
    <w:rsid w:val="005E6CBD"/>
    <w:rsid w:val="00611C8F"/>
    <w:rsid w:val="00646293"/>
    <w:rsid w:val="006613EC"/>
    <w:rsid w:val="00663F4D"/>
    <w:rsid w:val="0069290D"/>
    <w:rsid w:val="006A1B2C"/>
    <w:rsid w:val="006B4E8D"/>
    <w:rsid w:val="00704912"/>
    <w:rsid w:val="00725C9D"/>
    <w:rsid w:val="00734602"/>
    <w:rsid w:val="00740BD4"/>
    <w:rsid w:val="007448FA"/>
    <w:rsid w:val="00763600"/>
    <w:rsid w:val="00791F40"/>
    <w:rsid w:val="007959AD"/>
    <w:rsid w:val="007B3F10"/>
    <w:rsid w:val="007C4EF9"/>
    <w:rsid w:val="007F13A5"/>
    <w:rsid w:val="007F6E04"/>
    <w:rsid w:val="00817B7E"/>
    <w:rsid w:val="008343DD"/>
    <w:rsid w:val="008467CA"/>
    <w:rsid w:val="00852BA0"/>
    <w:rsid w:val="008572DB"/>
    <w:rsid w:val="008711DC"/>
    <w:rsid w:val="0089358B"/>
    <w:rsid w:val="008C52D7"/>
    <w:rsid w:val="008D1DBB"/>
    <w:rsid w:val="008D35E3"/>
    <w:rsid w:val="008D402C"/>
    <w:rsid w:val="0090026B"/>
    <w:rsid w:val="00905071"/>
    <w:rsid w:val="00912C88"/>
    <w:rsid w:val="00931B03"/>
    <w:rsid w:val="00932E1B"/>
    <w:rsid w:val="00935F50"/>
    <w:rsid w:val="00937BA4"/>
    <w:rsid w:val="0094235D"/>
    <w:rsid w:val="0094501A"/>
    <w:rsid w:val="00951EA9"/>
    <w:rsid w:val="00955381"/>
    <w:rsid w:val="00962DE2"/>
    <w:rsid w:val="00983B2D"/>
    <w:rsid w:val="00994D05"/>
    <w:rsid w:val="009A19F6"/>
    <w:rsid w:val="009B46B0"/>
    <w:rsid w:val="009C2099"/>
    <w:rsid w:val="009C7905"/>
    <w:rsid w:val="009D65D4"/>
    <w:rsid w:val="009F66D2"/>
    <w:rsid w:val="00A036D9"/>
    <w:rsid w:val="00A454AF"/>
    <w:rsid w:val="00A469D8"/>
    <w:rsid w:val="00A522F4"/>
    <w:rsid w:val="00A60F43"/>
    <w:rsid w:val="00A65237"/>
    <w:rsid w:val="00A65BC8"/>
    <w:rsid w:val="00A75D9B"/>
    <w:rsid w:val="00AB7B27"/>
    <w:rsid w:val="00AC0DBB"/>
    <w:rsid w:val="00AD122F"/>
    <w:rsid w:val="00AD42A5"/>
    <w:rsid w:val="00AF021D"/>
    <w:rsid w:val="00AF46F3"/>
    <w:rsid w:val="00B4583B"/>
    <w:rsid w:val="00B60847"/>
    <w:rsid w:val="00B71E50"/>
    <w:rsid w:val="00B83359"/>
    <w:rsid w:val="00B87BC8"/>
    <w:rsid w:val="00B9371F"/>
    <w:rsid w:val="00BA0E54"/>
    <w:rsid w:val="00BB0775"/>
    <w:rsid w:val="00BC5347"/>
    <w:rsid w:val="00BD2043"/>
    <w:rsid w:val="00BD2C52"/>
    <w:rsid w:val="00BF3143"/>
    <w:rsid w:val="00C028BD"/>
    <w:rsid w:val="00C15B6E"/>
    <w:rsid w:val="00C33D19"/>
    <w:rsid w:val="00C67975"/>
    <w:rsid w:val="00CA22B0"/>
    <w:rsid w:val="00CB5434"/>
    <w:rsid w:val="00CC16AA"/>
    <w:rsid w:val="00CC5194"/>
    <w:rsid w:val="00CC5F82"/>
    <w:rsid w:val="00CC6862"/>
    <w:rsid w:val="00CE5238"/>
    <w:rsid w:val="00CF07CA"/>
    <w:rsid w:val="00CF2FB8"/>
    <w:rsid w:val="00D101DC"/>
    <w:rsid w:val="00D11E99"/>
    <w:rsid w:val="00D161D8"/>
    <w:rsid w:val="00D411FD"/>
    <w:rsid w:val="00D524FA"/>
    <w:rsid w:val="00D60F36"/>
    <w:rsid w:val="00D80DD7"/>
    <w:rsid w:val="00D95FC0"/>
    <w:rsid w:val="00DC07ED"/>
    <w:rsid w:val="00E13A48"/>
    <w:rsid w:val="00E23972"/>
    <w:rsid w:val="00E548AD"/>
    <w:rsid w:val="00E869E2"/>
    <w:rsid w:val="00EC5741"/>
    <w:rsid w:val="00ED695E"/>
    <w:rsid w:val="00EE6521"/>
    <w:rsid w:val="00F323EE"/>
    <w:rsid w:val="00F3386A"/>
    <w:rsid w:val="00F65D4B"/>
    <w:rsid w:val="00F749B3"/>
    <w:rsid w:val="00F75368"/>
    <w:rsid w:val="00F97A29"/>
    <w:rsid w:val="00FB014F"/>
    <w:rsid w:val="00FB74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10714-5890-47B0-961E-22A88255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4235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7B27"/>
    <w:pPr>
      <w:keepNext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95E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4235D"/>
    <w:rPr>
      <w:i/>
      <w:iCs/>
    </w:rPr>
  </w:style>
  <w:style w:type="paragraph" w:styleId="a4">
    <w:name w:val="caption"/>
    <w:basedOn w:val="a"/>
    <w:uiPriority w:val="99"/>
    <w:semiHidden/>
    <w:unhideWhenUsed/>
    <w:qFormat/>
    <w:rsid w:val="0094235D"/>
    <w:pPr>
      <w:widowControl w:val="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customStyle="1" w:styleId="ConsPlusNormal">
    <w:name w:val="ConsPlusNormal"/>
    <w:rsid w:val="00942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B7B2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_"/>
    <w:link w:val="1"/>
    <w:rsid w:val="00AB7B2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AB7B27"/>
    <w:pPr>
      <w:shd w:val="clear" w:color="auto" w:fill="FFFFFF"/>
      <w:spacing w:after="540" w:line="322" w:lineRule="exact"/>
      <w:ind w:hanging="10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6">
    <w:name w:val="Body Text"/>
    <w:basedOn w:val="a"/>
    <w:link w:val="a7"/>
    <w:rsid w:val="00AB7B27"/>
    <w:pPr>
      <w:spacing w:line="360" w:lineRule="auto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a7">
    <w:name w:val="Основной текст Знак"/>
    <w:basedOn w:val="a0"/>
    <w:link w:val="a6"/>
    <w:rsid w:val="00AB7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457F9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C52D7"/>
    <w:rPr>
      <w:color w:val="0000FF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8C52D7"/>
    <w:pPr>
      <w:ind w:left="720"/>
      <w:contextualSpacing/>
    </w:pPr>
  </w:style>
  <w:style w:type="table" w:styleId="ab">
    <w:name w:val="Table Grid"/>
    <w:basedOn w:val="a1"/>
    <w:uiPriority w:val="59"/>
    <w:rsid w:val="00F753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267C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7CF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a">
    <w:name w:val="Абзац списка Знак"/>
    <w:link w:val="a9"/>
    <w:uiPriority w:val="34"/>
    <w:locked/>
    <w:rsid w:val="006613E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D695E"/>
    <w:rPr>
      <w:rFonts w:ascii="Calibri" w:eastAsia="Times New Roman" w:hAnsi="Calibri" w:cs="Times New Roman"/>
      <w:b/>
      <w:bCs/>
      <w:color w:val="000000"/>
      <w:lang w:val="ru" w:eastAsia="ru-RU"/>
    </w:rPr>
  </w:style>
  <w:style w:type="character" w:customStyle="1" w:styleId="ae">
    <w:name w:val="Основной текст + Полужирный"/>
    <w:uiPriority w:val="99"/>
    <w:rsid w:val="00ED69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character" w:styleId="af">
    <w:name w:val="Strong"/>
    <w:uiPriority w:val="22"/>
    <w:qFormat/>
    <w:rsid w:val="00ED6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762756350371456E-2"/>
          <c:y val="2.6605606721877235E-2"/>
          <c:w val="0.63087352116877715"/>
          <c:h val="0.958770574238967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Среднегодовая численность населения, тыс.человек</c:v>
                </c:pt>
              </c:strCache>
            </c:strRef>
          </c:tx>
          <c:invertIfNegative val="0"/>
          <c:cat>
            <c:numRef>
              <c:f>Лист1!$B$1:$E$1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Лист1!$B$2:$E$2</c:f>
              <c:numCache>
                <c:formatCode>General</c:formatCode>
                <c:ptCount val="4"/>
                <c:pt idx="0">
                  <c:v>118.98699999999999</c:v>
                </c:pt>
                <c:pt idx="1">
                  <c:v>118.38200000000001</c:v>
                </c:pt>
                <c:pt idx="2">
                  <c:v>117.01300000000001</c:v>
                </c:pt>
                <c:pt idx="3">
                  <c:v>114.976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0358520"/>
        <c:axId val="190358912"/>
      </c:barChart>
      <c:lineChart>
        <c:grouping val="standard"/>
        <c:varyColors val="0"/>
        <c:ser>
          <c:idx val="1"/>
          <c:order val="1"/>
          <c:tx>
            <c:strRef>
              <c:f>Лист1!$A$3</c:f>
              <c:strCache>
                <c:ptCount val="1"/>
                <c:pt idx="0">
                  <c:v>Естественный прирост (убыль) (правая ось), человек</c:v>
                </c:pt>
              </c:strCache>
            </c:strRef>
          </c:tx>
          <c:marker>
            <c:symbol val="none"/>
          </c:marker>
          <c:cat>
            <c:numRef>
              <c:f>Лист1!$B$1:$E$1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Лист1!$B$3:$E$3</c:f>
              <c:numCache>
                <c:formatCode>General</c:formatCode>
                <c:ptCount val="4"/>
                <c:pt idx="0">
                  <c:v>53</c:v>
                </c:pt>
                <c:pt idx="1">
                  <c:v>-20</c:v>
                </c:pt>
                <c:pt idx="2">
                  <c:v>-195</c:v>
                </c:pt>
                <c:pt idx="3">
                  <c:v>-244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Лист1!$A$4</c:f>
              <c:strCache>
                <c:ptCount val="1"/>
                <c:pt idx="0">
                  <c:v>Миграционный прирост (убыль) (правая ось), человек</c:v>
                </c:pt>
              </c:strCache>
            </c:strRef>
          </c:tx>
          <c:marker>
            <c:symbol val="none"/>
          </c:marker>
          <c:cat>
            <c:numRef>
              <c:f>Лист1!$B$1:$E$1</c:f>
              <c:numCache>
                <c:formatCode>General</c:formatCode>
                <c:ptCount val="4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  <c:pt idx="3">
                  <c:v>2019</c:v>
                </c:pt>
              </c:numCache>
            </c:numRef>
          </c:cat>
          <c:val>
            <c:numRef>
              <c:f>Лист1!$B$4:$E$4</c:f>
              <c:numCache>
                <c:formatCode>General</c:formatCode>
                <c:ptCount val="4"/>
                <c:pt idx="0">
                  <c:v>-829</c:v>
                </c:pt>
                <c:pt idx="1">
                  <c:v>-1190</c:v>
                </c:pt>
                <c:pt idx="2">
                  <c:v>-1333</c:v>
                </c:pt>
                <c:pt idx="3">
                  <c:v>-2302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9543904"/>
        <c:axId val="189543512"/>
      </c:lineChart>
      <c:catAx>
        <c:axId val="190358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90358912"/>
        <c:crosses val="autoZero"/>
        <c:auto val="1"/>
        <c:lblAlgn val="ctr"/>
        <c:lblOffset val="100"/>
        <c:noMultiLvlLbl val="0"/>
      </c:catAx>
      <c:valAx>
        <c:axId val="190358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90358520"/>
        <c:crosses val="autoZero"/>
        <c:crossBetween val="between"/>
      </c:valAx>
      <c:valAx>
        <c:axId val="18954351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89543904"/>
        <c:crosses val="max"/>
        <c:crossBetween val="between"/>
      </c:valAx>
      <c:catAx>
        <c:axId val="1895439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9543512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0.78737121967431045"/>
          <c:y val="0.21308302013755398"/>
          <c:w val="0.20265869059488201"/>
          <c:h val="0.56311836061896703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7377296587926515E-2"/>
          <c:y val="5.1400554097404488E-2"/>
          <c:w val="0.71295603674540686"/>
          <c:h val="0.7233471857684455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Лист1!$A$36</c:f>
              <c:strCache>
                <c:ptCount val="1"/>
                <c:pt idx="0">
                  <c:v>2018</c:v>
                </c:pt>
              </c:strCache>
            </c:strRef>
          </c:tx>
          <c:marker>
            <c:symbol val="none"/>
          </c:marker>
          <c:cat>
            <c:strRef>
              <c:f>Лист1!$B$35:$M$35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Лист1!$B$36:$M$36</c:f>
              <c:numCache>
                <c:formatCode>General</c:formatCode>
                <c:ptCount val="12"/>
                <c:pt idx="0">
                  <c:v>337</c:v>
                </c:pt>
                <c:pt idx="1">
                  <c:v>347</c:v>
                </c:pt>
                <c:pt idx="2">
                  <c:v>337</c:v>
                </c:pt>
                <c:pt idx="3">
                  <c:v>333</c:v>
                </c:pt>
                <c:pt idx="4">
                  <c:v>301</c:v>
                </c:pt>
                <c:pt idx="5">
                  <c:v>272</c:v>
                </c:pt>
                <c:pt idx="6">
                  <c:v>276</c:v>
                </c:pt>
                <c:pt idx="7">
                  <c:v>278</c:v>
                </c:pt>
                <c:pt idx="8">
                  <c:v>272</c:v>
                </c:pt>
                <c:pt idx="9">
                  <c:v>260</c:v>
                </c:pt>
                <c:pt idx="10">
                  <c:v>282</c:v>
                </c:pt>
                <c:pt idx="11">
                  <c:v>307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Лист1!$A$37</c:f>
              <c:strCache>
                <c:ptCount val="1"/>
                <c:pt idx="0">
                  <c:v>2019</c:v>
                </c:pt>
              </c:strCache>
            </c:strRef>
          </c:tx>
          <c:marker>
            <c:symbol val="none"/>
          </c:marker>
          <c:cat>
            <c:strRef>
              <c:f>Лист1!$B$35:$M$35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Лист1!$B$37:$M$37</c:f>
              <c:numCache>
                <c:formatCode>General</c:formatCode>
                <c:ptCount val="12"/>
                <c:pt idx="0">
                  <c:v>333</c:v>
                </c:pt>
                <c:pt idx="1">
                  <c:v>366</c:v>
                </c:pt>
                <c:pt idx="2">
                  <c:v>374</c:v>
                </c:pt>
                <c:pt idx="3">
                  <c:v>364</c:v>
                </c:pt>
                <c:pt idx="4">
                  <c:v>350</c:v>
                </c:pt>
                <c:pt idx="5">
                  <c:v>316</c:v>
                </c:pt>
                <c:pt idx="6">
                  <c:v>309</c:v>
                </c:pt>
                <c:pt idx="7">
                  <c:v>292</c:v>
                </c:pt>
                <c:pt idx="8">
                  <c:v>281</c:v>
                </c:pt>
                <c:pt idx="9">
                  <c:v>277</c:v>
                </c:pt>
                <c:pt idx="10">
                  <c:v>280</c:v>
                </c:pt>
                <c:pt idx="11">
                  <c:v>282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Лист1!$A$38</c:f>
              <c:strCache>
                <c:ptCount val="1"/>
                <c:pt idx="0">
                  <c:v>2020</c:v>
                </c:pt>
              </c:strCache>
            </c:strRef>
          </c:tx>
          <c:marker>
            <c:symbol val="none"/>
          </c:marker>
          <c:cat>
            <c:strRef>
              <c:f>Лист1!$B$35:$M$35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Лист1!$B$38:$M$38</c:f>
              <c:numCache>
                <c:formatCode>General</c:formatCode>
                <c:ptCount val="12"/>
                <c:pt idx="0">
                  <c:v>310</c:v>
                </c:pt>
                <c:pt idx="1">
                  <c:v>315</c:v>
                </c:pt>
                <c:pt idx="2">
                  <c:v>313</c:v>
                </c:pt>
                <c:pt idx="3">
                  <c:v>632</c:v>
                </c:pt>
                <c:pt idx="4">
                  <c:v>1286</c:v>
                </c:pt>
                <c:pt idx="5">
                  <c:v>1522</c:v>
                </c:pt>
                <c:pt idx="6">
                  <c:v>1896</c:v>
                </c:pt>
                <c:pt idx="7">
                  <c:v>1886</c:v>
                </c:pt>
                <c:pt idx="8">
                  <c:v>1894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9544688"/>
        <c:axId val="189545080"/>
      </c:lineChart>
      <c:catAx>
        <c:axId val="189544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89545080"/>
        <c:crosses val="autoZero"/>
        <c:auto val="1"/>
        <c:lblAlgn val="ctr"/>
        <c:lblOffset val="100"/>
        <c:noMultiLvlLbl val="0"/>
      </c:catAx>
      <c:valAx>
        <c:axId val="189545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544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C87C-00AD-4E72-941E-E52CB02A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2155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М.В.</dc:creator>
  <cp:lastModifiedBy>mah2</cp:lastModifiedBy>
  <cp:revision>5</cp:revision>
  <cp:lastPrinted>2020-10-14T09:49:00Z</cp:lastPrinted>
  <dcterms:created xsi:type="dcterms:W3CDTF">2020-10-21T05:49:00Z</dcterms:created>
  <dcterms:modified xsi:type="dcterms:W3CDTF">2020-10-21T06:25:00Z</dcterms:modified>
</cp:coreProperties>
</file>