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74" w:rsidRDefault="00071F74" w:rsidP="00071F74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4990" cy="577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071F74" w:rsidTr="00071F74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1F74" w:rsidRDefault="00071F74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АДМИНИСТРАЦИЯ</w:t>
            </w:r>
          </w:p>
          <w:p w:rsidR="00071F74" w:rsidRDefault="00071F74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МУНИЦИПАЛЬНОГО ОБРАЗОВАНИЯ</w:t>
            </w:r>
          </w:p>
          <w:p w:rsidR="00071F74" w:rsidRDefault="00071F74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ГОРОДСКОГО ОКРУГА</w:t>
            </w:r>
          </w:p>
          <w:p w:rsidR="00071F74" w:rsidRDefault="00071F74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071F74" w:rsidRDefault="00071F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1F74" w:rsidRDefault="00071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t>«УХТА»</w:t>
            </w:r>
          </w:p>
          <w:p w:rsidR="00071F74" w:rsidRDefault="00071F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КАР  КЫТШЛÖН</w:t>
            </w:r>
          </w:p>
          <w:p w:rsidR="00071F74" w:rsidRDefault="00071F74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</w:pPr>
            <w:r>
              <w:rPr>
                <w:sz w:val="22"/>
              </w:rPr>
              <w:t>МУНИЦИПАЛЬНÖЙ  ЮКÖНСА</w:t>
            </w:r>
          </w:p>
          <w:p w:rsidR="00071F74" w:rsidRDefault="00071F74">
            <w:pPr>
              <w:keepNext/>
              <w:widowControl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АДМИНИСТРАЦИЯ</w:t>
            </w:r>
          </w:p>
          <w:p w:rsidR="00071F74" w:rsidRDefault="00071F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071F74" w:rsidTr="00071F74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1F74" w:rsidRDefault="00071F74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>
              <w:rPr>
                <w:bCs/>
                <w:sz w:val="38"/>
              </w:rPr>
              <w:t>ПОСТАНОВЛЕНИЕ</w:t>
            </w:r>
          </w:p>
          <w:p w:rsidR="00071F74" w:rsidRDefault="00071F74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071F74" w:rsidRDefault="00071F74">
            <w:pPr>
              <w:keepNext/>
              <w:jc w:val="center"/>
              <w:outlineLvl w:val="1"/>
              <w:rPr>
                <w:bCs/>
                <w:sz w:val="28"/>
              </w:rPr>
            </w:pPr>
          </w:p>
        </w:tc>
      </w:tr>
      <w:tr w:rsidR="00071F74" w:rsidTr="00071F74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1F74" w:rsidRDefault="00071F74" w:rsidP="003E2CF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  <w:r w:rsidR="003E2CFD">
              <w:rPr>
                <w:sz w:val="28"/>
                <w:szCs w:val="20"/>
              </w:rPr>
              <w:t>4</w:t>
            </w:r>
            <w:r>
              <w:rPr>
                <w:sz w:val="28"/>
                <w:szCs w:val="20"/>
              </w:rPr>
              <w:t xml:space="preserve"> января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F74" w:rsidRDefault="00071F7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1F74" w:rsidRDefault="00071F7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1F74" w:rsidRDefault="003E2CFD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>
              <w:rPr>
                <w:rFonts w:eastAsia="Calibri"/>
                <w:sz w:val="28"/>
                <w:szCs w:val="20"/>
                <w:lang w:eastAsia="ar-SA"/>
              </w:rPr>
              <w:t>117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1F74" w:rsidRDefault="00071F7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</w:tr>
      <w:tr w:rsidR="00071F74" w:rsidTr="00071F74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1F74" w:rsidRDefault="00071F7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F74" w:rsidRDefault="00071F7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F74" w:rsidRDefault="00071F7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</w:tbl>
    <w:p w:rsidR="00206FB2" w:rsidRDefault="00206FB2"/>
    <w:p w:rsidR="0069291F" w:rsidRDefault="00071F74" w:rsidP="00071F74">
      <w:pPr>
        <w:ind w:right="3543"/>
        <w:jc w:val="both"/>
        <w:rPr>
          <w:sz w:val="28"/>
          <w:szCs w:val="28"/>
        </w:rPr>
      </w:pPr>
      <w:bookmarkStart w:id="0" w:name="_GoBack"/>
      <w:r w:rsidRPr="0049511C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М</w:t>
      </w:r>
      <w:r w:rsidRPr="0049511C">
        <w:rPr>
          <w:sz w:val="28"/>
          <w:szCs w:val="28"/>
        </w:rPr>
        <w:t xml:space="preserve">етодики оценки эффективности налоговых расходов МОГО «Ухта», соответствующих целям муниципальной программы МОГО «Ухта» </w:t>
      </w:r>
      <w:r>
        <w:rPr>
          <w:sz w:val="28"/>
          <w:szCs w:val="28"/>
        </w:rPr>
        <w:t xml:space="preserve">«Социальная поддержка населения» </w:t>
      </w:r>
      <w:r w:rsidRPr="0049511C">
        <w:rPr>
          <w:sz w:val="28"/>
          <w:szCs w:val="28"/>
        </w:rPr>
        <w:t>в части оказания дополнительных мер социальной поддержки граждан</w:t>
      </w:r>
    </w:p>
    <w:bookmarkEnd w:id="0"/>
    <w:p w:rsidR="00071F74" w:rsidRPr="0069291F" w:rsidRDefault="00071F74" w:rsidP="00071F74">
      <w:pPr>
        <w:rPr>
          <w:sz w:val="28"/>
          <w:szCs w:val="28"/>
        </w:rPr>
      </w:pPr>
    </w:p>
    <w:p w:rsidR="00BB6E43" w:rsidRPr="0049511C" w:rsidRDefault="00A8331B" w:rsidP="003E2CFD">
      <w:pPr>
        <w:pStyle w:val="ConsPlusNormal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11C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3554">
        <w:rPr>
          <w:rFonts w:ascii="Times New Roman" w:hAnsi="Times New Roman" w:cs="Times New Roman"/>
          <w:sz w:val="28"/>
          <w:szCs w:val="28"/>
        </w:rPr>
        <w:t>о</w:t>
      </w:r>
      <w:r w:rsidRPr="0049511C">
        <w:rPr>
          <w:rFonts w:ascii="Times New Roman" w:hAnsi="Times New Roman" w:cs="Times New Roman"/>
          <w:sz w:val="28"/>
          <w:szCs w:val="28"/>
        </w:rPr>
        <w:t xml:space="preserve"> </w:t>
      </w:r>
      <w:r w:rsidR="00071F74">
        <w:rPr>
          <w:rFonts w:ascii="Times New Roman" w:hAnsi="Times New Roman" w:cs="Times New Roman"/>
          <w:sz w:val="28"/>
          <w:szCs w:val="28"/>
        </w:rPr>
        <w:t>статьей</w:t>
      </w:r>
      <w:r w:rsidR="00583554">
        <w:rPr>
          <w:rFonts w:ascii="Times New Roman" w:hAnsi="Times New Roman" w:cs="Times New Roman"/>
          <w:sz w:val="28"/>
          <w:szCs w:val="28"/>
        </w:rPr>
        <w:t xml:space="preserve"> 174.3 Бюджетно</w:t>
      </w:r>
      <w:r w:rsidR="006834FA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583554">
        <w:rPr>
          <w:rFonts w:ascii="Times New Roman" w:hAnsi="Times New Roman" w:cs="Times New Roman"/>
          <w:sz w:val="28"/>
          <w:szCs w:val="28"/>
        </w:rPr>
        <w:t>, постановлением Правительства РФ от 22 июня 2019</w:t>
      </w:r>
      <w:r w:rsidR="00071F74">
        <w:rPr>
          <w:rFonts w:ascii="Times New Roman" w:hAnsi="Times New Roman" w:cs="Times New Roman"/>
          <w:sz w:val="28"/>
          <w:szCs w:val="28"/>
        </w:rPr>
        <w:t xml:space="preserve"> </w:t>
      </w:r>
      <w:r w:rsidR="00583554">
        <w:rPr>
          <w:rFonts w:ascii="Times New Roman" w:hAnsi="Times New Roman" w:cs="Times New Roman"/>
          <w:sz w:val="28"/>
          <w:szCs w:val="28"/>
        </w:rPr>
        <w:t xml:space="preserve">г. № 796 «Об общих требованиях к оценке налоговых расходов субъектов Российской Федерации и муниципальных образований», </w:t>
      </w:r>
      <w:r w:rsidRPr="0049511C">
        <w:rPr>
          <w:rFonts w:ascii="Times New Roman" w:hAnsi="Times New Roman" w:cs="Times New Roman"/>
          <w:sz w:val="28"/>
          <w:szCs w:val="28"/>
        </w:rPr>
        <w:t>постановлением администрации МОГО «Ухта» от 10.01.2020 №</w:t>
      </w:r>
      <w:r w:rsidR="00583554">
        <w:rPr>
          <w:rFonts w:ascii="Times New Roman" w:hAnsi="Times New Roman" w:cs="Times New Roman"/>
          <w:sz w:val="28"/>
          <w:szCs w:val="28"/>
        </w:rPr>
        <w:t xml:space="preserve"> </w:t>
      </w:r>
      <w:r w:rsidRPr="0049511C">
        <w:rPr>
          <w:rFonts w:ascii="Times New Roman" w:hAnsi="Times New Roman" w:cs="Times New Roman"/>
          <w:sz w:val="28"/>
          <w:szCs w:val="28"/>
        </w:rPr>
        <w:t>33 «Об утверждении Порядка формирования перечня налоговых расходов МОГО «Ухта» и оценки налоговых расходов МОГО «Ухта»</w:t>
      </w:r>
      <w:r w:rsidR="00BB6E43" w:rsidRPr="0049511C">
        <w:rPr>
          <w:rFonts w:ascii="Times New Roman" w:hAnsi="Times New Roman" w:cs="Times New Roman"/>
          <w:sz w:val="28"/>
          <w:szCs w:val="28"/>
        </w:rPr>
        <w:t>, администрация постановляет:</w:t>
      </w:r>
    </w:p>
    <w:p w:rsidR="0069291F" w:rsidRDefault="00BB6E43" w:rsidP="003E2CF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11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9511C">
        <w:rPr>
          <w:rFonts w:ascii="Times New Roman" w:hAnsi="Times New Roman" w:cs="Times New Roman"/>
          <w:sz w:val="28"/>
          <w:szCs w:val="28"/>
        </w:rPr>
        <w:t>М</w:t>
      </w:r>
      <w:r w:rsidRPr="0049511C">
        <w:rPr>
          <w:rFonts w:ascii="Times New Roman" w:hAnsi="Times New Roman" w:cs="Times New Roman"/>
          <w:sz w:val="28"/>
          <w:szCs w:val="28"/>
        </w:rPr>
        <w:t xml:space="preserve">етодику оценки эффективности налоговых расходов МОГО «Ухта», соответствующих целям муниципальной программы </w:t>
      </w:r>
      <w:r w:rsidR="00071F7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511C">
        <w:rPr>
          <w:rFonts w:ascii="Times New Roman" w:hAnsi="Times New Roman" w:cs="Times New Roman"/>
          <w:sz w:val="28"/>
          <w:szCs w:val="28"/>
        </w:rPr>
        <w:t xml:space="preserve">МОГО «Ухта» </w:t>
      </w:r>
      <w:r w:rsidR="0049511C">
        <w:rPr>
          <w:rFonts w:ascii="Times New Roman" w:hAnsi="Times New Roman" w:cs="Times New Roman"/>
          <w:sz w:val="28"/>
          <w:szCs w:val="28"/>
        </w:rPr>
        <w:t xml:space="preserve">«Социальная поддержка населения» </w:t>
      </w:r>
      <w:r w:rsidRPr="0049511C">
        <w:rPr>
          <w:rFonts w:ascii="Times New Roman" w:hAnsi="Times New Roman" w:cs="Times New Roman"/>
          <w:sz w:val="28"/>
          <w:szCs w:val="28"/>
        </w:rPr>
        <w:t>в части оказания дополнительных мер социальной поддержки граждан</w:t>
      </w:r>
      <w:r w:rsidR="0049511C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49511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583554" w:rsidRDefault="00583554" w:rsidP="003E2CF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BB6E43" w:rsidRDefault="00583554" w:rsidP="003E2CF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6E43" w:rsidRPr="0049511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583554" w:rsidRDefault="00583554" w:rsidP="0049511C">
      <w:pPr>
        <w:pStyle w:val="ConsPlusNormal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1F74" w:rsidRPr="0049511C" w:rsidRDefault="00071F74" w:rsidP="0049511C">
      <w:pPr>
        <w:pStyle w:val="ConsPlusNormal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2CFD" w:rsidRPr="00172E82" w:rsidRDefault="003E2CFD" w:rsidP="003E2CFD">
      <w:pPr>
        <w:ind w:left="-142"/>
        <w:rPr>
          <w:sz w:val="28"/>
          <w:szCs w:val="28"/>
        </w:rPr>
      </w:pPr>
      <w:proofErr w:type="spellStart"/>
      <w:r w:rsidRPr="00172E82">
        <w:rPr>
          <w:sz w:val="28"/>
          <w:szCs w:val="28"/>
        </w:rPr>
        <w:t>И.о</w:t>
      </w:r>
      <w:proofErr w:type="spellEnd"/>
      <w:r w:rsidRPr="00172E82">
        <w:rPr>
          <w:sz w:val="28"/>
          <w:szCs w:val="28"/>
        </w:rPr>
        <w:t>. главы МОГО «Ухта» - руководителя</w:t>
      </w:r>
    </w:p>
    <w:p w:rsidR="003E2CFD" w:rsidRPr="00172E82" w:rsidRDefault="003E2CFD" w:rsidP="003E2CF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172E82">
        <w:rPr>
          <w:sz w:val="28"/>
          <w:szCs w:val="28"/>
        </w:rPr>
        <w:t xml:space="preserve"> МОГО «Ухта»                 </w:t>
      </w:r>
      <w:r>
        <w:rPr>
          <w:sz w:val="28"/>
          <w:szCs w:val="28"/>
        </w:rPr>
        <w:t xml:space="preserve">    </w:t>
      </w:r>
      <w:r w:rsidRPr="00172E82">
        <w:rPr>
          <w:sz w:val="28"/>
          <w:szCs w:val="28"/>
        </w:rPr>
        <w:t xml:space="preserve">                                     П.П. Артемьев                                                                                                   </w:t>
      </w:r>
    </w:p>
    <w:p w:rsidR="00071F74" w:rsidRDefault="00071F74">
      <w:pPr>
        <w:spacing w:after="200" w:line="276" w:lineRule="auto"/>
        <w:rPr>
          <w:rFonts w:ascii="Calibri" w:hAnsi="Calibri" w:cs="Calibri"/>
          <w:sz w:val="22"/>
          <w:szCs w:val="20"/>
        </w:rPr>
      </w:pPr>
      <w:r>
        <w:br w:type="page"/>
      </w:r>
    </w:p>
    <w:p w:rsidR="0069291F" w:rsidRDefault="00BB6E43" w:rsidP="00071F74">
      <w:pPr>
        <w:pStyle w:val="ConsPlusNormal"/>
        <w:ind w:firstLine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9511C" w:rsidRDefault="00BB6E43" w:rsidP="00071F74">
      <w:pPr>
        <w:pStyle w:val="ConsPlusNormal"/>
        <w:ind w:firstLine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B6E43" w:rsidRDefault="00BB6E43" w:rsidP="00071F74">
      <w:pPr>
        <w:pStyle w:val="ConsPlusNormal"/>
        <w:ind w:firstLine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495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МОГО «Ухта»</w:t>
      </w:r>
    </w:p>
    <w:p w:rsidR="00BB6E43" w:rsidRPr="00BB6E43" w:rsidRDefault="00BB6E43" w:rsidP="00071F74">
      <w:pPr>
        <w:pStyle w:val="ConsPlusNormal"/>
        <w:ind w:firstLine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E2CFD">
        <w:rPr>
          <w:rFonts w:ascii="Times New Roman" w:hAnsi="Times New Roman" w:cs="Times New Roman"/>
          <w:sz w:val="24"/>
          <w:szCs w:val="24"/>
        </w:rPr>
        <w:t xml:space="preserve">24 января 2022 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 w:rsidR="003E2CFD">
        <w:rPr>
          <w:rFonts w:ascii="Times New Roman" w:hAnsi="Times New Roman" w:cs="Times New Roman"/>
          <w:sz w:val="24"/>
          <w:szCs w:val="24"/>
        </w:rPr>
        <w:t>117</w:t>
      </w:r>
    </w:p>
    <w:p w:rsidR="00BB6E43" w:rsidRDefault="00BB6E43" w:rsidP="0069291F">
      <w:pPr>
        <w:pStyle w:val="ConsPlusTitle"/>
        <w:jc w:val="center"/>
      </w:pPr>
      <w:bookmarkStart w:id="1" w:name="P29"/>
      <w:bookmarkEnd w:id="1"/>
    </w:p>
    <w:p w:rsidR="00BB6E43" w:rsidRDefault="00BB6E43" w:rsidP="0069291F">
      <w:pPr>
        <w:pStyle w:val="ConsPlusTitle"/>
        <w:jc w:val="center"/>
      </w:pPr>
    </w:p>
    <w:p w:rsidR="00BB6E43" w:rsidRDefault="00BB6E43" w:rsidP="0069291F">
      <w:pPr>
        <w:pStyle w:val="ConsPlusTitle"/>
        <w:jc w:val="center"/>
      </w:pPr>
    </w:p>
    <w:p w:rsidR="00BB6E43" w:rsidRDefault="00BB6E43" w:rsidP="0069291F">
      <w:pPr>
        <w:pStyle w:val="ConsPlusTitle"/>
        <w:jc w:val="center"/>
      </w:pPr>
    </w:p>
    <w:p w:rsidR="00BB6E43" w:rsidRPr="00071F74" w:rsidRDefault="00BB6E43" w:rsidP="00071F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71F74">
        <w:rPr>
          <w:rFonts w:ascii="Times New Roman" w:hAnsi="Times New Roman" w:cs="Times New Roman"/>
          <w:b w:val="0"/>
          <w:sz w:val="24"/>
          <w:szCs w:val="24"/>
        </w:rPr>
        <w:t>Методика</w:t>
      </w:r>
    </w:p>
    <w:p w:rsidR="00BB6E43" w:rsidRPr="00071F74" w:rsidRDefault="00BB6E43" w:rsidP="00071F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71F74">
        <w:rPr>
          <w:rFonts w:ascii="Times New Roman" w:hAnsi="Times New Roman" w:cs="Times New Roman"/>
          <w:b w:val="0"/>
          <w:sz w:val="24"/>
          <w:szCs w:val="24"/>
        </w:rPr>
        <w:t xml:space="preserve">оценки эффективности налоговых расходов МОГО «Ухта», </w:t>
      </w:r>
    </w:p>
    <w:p w:rsidR="0049511C" w:rsidRPr="00071F74" w:rsidRDefault="00BB6E43" w:rsidP="00071F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71F74">
        <w:rPr>
          <w:rFonts w:ascii="Times New Roman" w:hAnsi="Times New Roman" w:cs="Times New Roman"/>
          <w:b w:val="0"/>
          <w:sz w:val="24"/>
          <w:szCs w:val="24"/>
        </w:rPr>
        <w:t>соответствующих целям муниципальной программы МОГО «Ухта»</w:t>
      </w:r>
    </w:p>
    <w:p w:rsidR="0049511C" w:rsidRPr="00071F74" w:rsidRDefault="0049511C" w:rsidP="00071F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71F74">
        <w:rPr>
          <w:rFonts w:ascii="Times New Roman" w:hAnsi="Times New Roman" w:cs="Times New Roman"/>
          <w:b w:val="0"/>
          <w:sz w:val="24"/>
          <w:szCs w:val="24"/>
        </w:rPr>
        <w:t xml:space="preserve">«Социальная поддержка населения» </w:t>
      </w:r>
      <w:r w:rsidR="00BB6E43" w:rsidRPr="00071F74">
        <w:rPr>
          <w:rFonts w:ascii="Times New Roman" w:hAnsi="Times New Roman" w:cs="Times New Roman"/>
          <w:b w:val="0"/>
          <w:sz w:val="24"/>
          <w:szCs w:val="24"/>
        </w:rPr>
        <w:t>в части оказания</w:t>
      </w:r>
    </w:p>
    <w:p w:rsidR="00BB6E43" w:rsidRPr="00071F74" w:rsidRDefault="00BB6E43" w:rsidP="00071F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071F74">
        <w:rPr>
          <w:rFonts w:ascii="Times New Roman" w:hAnsi="Times New Roman" w:cs="Times New Roman"/>
          <w:b w:val="0"/>
          <w:sz w:val="24"/>
          <w:szCs w:val="24"/>
        </w:rPr>
        <w:t>дополнительных мер социальной поддержки граждан</w:t>
      </w:r>
    </w:p>
    <w:p w:rsidR="00BB6E43" w:rsidRPr="00071F74" w:rsidRDefault="00BB6E43" w:rsidP="00071F74">
      <w:pPr>
        <w:pStyle w:val="ConsPlusTitle"/>
        <w:jc w:val="center"/>
        <w:rPr>
          <w:b w:val="0"/>
        </w:rPr>
      </w:pPr>
    </w:p>
    <w:p w:rsidR="0069291F" w:rsidRPr="00071F74" w:rsidRDefault="0069291F" w:rsidP="00071F74">
      <w:pPr>
        <w:pStyle w:val="ConsPlusNormal"/>
        <w:jc w:val="both"/>
      </w:pPr>
    </w:p>
    <w:p w:rsidR="0069291F" w:rsidRPr="00071F74" w:rsidRDefault="0069291F" w:rsidP="00071F7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71F74">
        <w:rPr>
          <w:rFonts w:ascii="Times New Roman" w:hAnsi="Times New Roman" w:cs="Times New Roman"/>
          <w:b w:val="0"/>
          <w:sz w:val="24"/>
          <w:szCs w:val="24"/>
        </w:rPr>
        <w:t>Общие положения</w:t>
      </w:r>
    </w:p>
    <w:p w:rsidR="00BB6E43" w:rsidRPr="00071F74" w:rsidRDefault="00BB6E43" w:rsidP="00071F7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BF4459" w:rsidRPr="00071F74" w:rsidRDefault="00BB6E43" w:rsidP="00071F74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71F74">
        <w:rPr>
          <w:rFonts w:ascii="Times New Roman" w:hAnsi="Times New Roman" w:cs="Times New Roman"/>
          <w:b w:val="0"/>
          <w:sz w:val="24"/>
          <w:szCs w:val="24"/>
        </w:rPr>
        <w:t>1.</w:t>
      </w:r>
      <w:r w:rsidR="0049511C" w:rsidRPr="00071F7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69291F" w:rsidRPr="00071F74">
        <w:rPr>
          <w:rFonts w:ascii="Times New Roman" w:hAnsi="Times New Roman" w:cs="Times New Roman"/>
          <w:b w:val="0"/>
          <w:sz w:val="24"/>
          <w:szCs w:val="24"/>
        </w:rPr>
        <w:t xml:space="preserve">Оценка эффективности налоговых расходов </w:t>
      </w:r>
      <w:r w:rsidR="00BF4459" w:rsidRPr="00071F74">
        <w:rPr>
          <w:rFonts w:ascii="Times New Roman" w:hAnsi="Times New Roman" w:cs="Times New Roman"/>
          <w:b w:val="0"/>
          <w:sz w:val="24"/>
          <w:szCs w:val="24"/>
        </w:rPr>
        <w:t>МОГО «Ухта»</w:t>
      </w:r>
      <w:r w:rsidR="0069291F" w:rsidRPr="00071F74">
        <w:rPr>
          <w:rFonts w:ascii="Times New Roman" w:hAnsi="Times New Roman" w:cs="Times New Roman"/>
          <w:b w:val="0"/>
          <w:sz w:val="24"/>
          <w:szCs w:val="24"/>
        </w:rPr>
        <w:t xml:space="preserve"> осуществляется </w:t>
      </w:r>
      <w:r w:rsidR="006834FA" w:rsidRPr="00071F74">
        <w:rPr>
          <w:rFonts w:ascii="Times New Roman" w:hAnsi="Times New Roman" w:cs="Times New Roman"/>
          <w:b w:val="0"/>
          <w:sz w:val="24"/>
          <w:szCs w:val="24"/>
        </w:rPr>
        <w:t xml:space="preserve">по каждому налоговому расходу, указанному в пункте 3 </w:t>
      </w:r>
      <w:r w:rsidR="007175EA" w:rsidRPr="00071F74">
        <w:rPr>
          <w:rFonts w:ascii="Times New Roman" w:hAnsi="Times New Roman" w:cs="Times New Roman"/>
          <w:b w:val="0"/>
          <w:sz w:val="24"/>
          <w:szCs w:val="24"/>
        </w:rPr>
        <w:t xml:space="preserve">(далее – налоговый расход) </w:t>
      </w:r>
      <w:r w:rsidR="006834FA" w:rsidRPr="00071F74">
        <w:rPr>
          <w:rFonts w:ascii="Times New Roman" w:hAnsi="Times New Roman" w:cs="Times New Roman"/>
          <w:b w:val="0"/>
          <w:sz w:val="24"/>
          <w:szCs w:val="24"/>
        </w:rPr>
        <w:t>Методики оценки эффективности налоговых расходов МОГО «Ухта», соответствующих цел</w:t>
      </w:r>
      <w:r w:rsidR="00A26AA8" w:rsidRPr="00071F74">
        <w:rPr>
          <w:rFonts w:ascii="Times New Roman" w:hAnsi="Times New Roman" w:cs="Times New Roman"/>
          <w:b w:val="0"/>
          <w:sz w:val="24"/>
          <w:szCs w:val="24"/>
        </w:rPr>
        <w:t>и</w:t>
      </w:r>
      <w:r w:rsidR="006834FA" w:rsidRPr="00071F74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МОГО «Ухта» «Социальная поддержка населения»</w:t>
      </w:r>
      <w:r w:rsidR="00A26AA8" w:rsidRPr="00071F74">
        <w:rPr>
          <w:rFonts w:ascii="Times New Roman" w:hAnsi="Times New Roman" w:cs="Times New Roman"/>
          <w:b w:val="0"/>
          <w:sz w:val="24"/>
          <w:szCs w:val="24"/>
        </w:rPr>
        <w:t>, утвержденной постановлением администрации МОГО «Ухта» от 26.11.2020 № 3285 (далее – МП «Социальная поддержка населения»),</w:t>
      </w:r>
      <w:r w:rsidR="006834FA" w:rsidRPr="00071F74">
        <w:rPr>
          <w:rFonts w:ascii="Times New Roman" w:hAnsi="Times New Roman" w:cs="Times New Roman"/>
          <w:b w:val="0"/>
          <w:sz w:val="24"/>
          <w:szCs w:val="24"/>
        </w:rPr>
        <w:t xml:space="preserve"> в части оказания дополнительных мер социальной поддержки граждан (далее – Методика), </w:t>
      </w:r>
      <w:r w:rsidR="0069291F" w:rsidRPr="00071F74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</w:t>
      </w:r>
      <w:r w:rsidR="006834FA" w:rsidRPr="00071F74">
        <w:rPr>
          <w:rFonts w:ascii="Times New Roman" w:hAnsi="Times New Roman" w:cs="Times New Roman"/>
          <w:b w:val="0"/>
          <w:sz w:val="24"/>
          <w:szCs w:val="24"/>
        </w:rPr>
        <w:t>со</w:t>
      </w:r>
      <w:proofErr w:type="gramEnd"/>
      <w:r w:rsidR="006834FA" w:rsidRPr="00071F74">
        <w:rPr>
          <w:rFonts w:ascii="Times New Roman" w:hAnsi="Times New Roman" w:cs="Times New Roman"/>
          <w:b w:val="0"/>
          <w:sz w:val="24"/>
          <w:szCs w:val="24"/>
        </w:rPr>
        <w:t xml:space="preserve"> ст</w:t>
      </w:r>
      <w:r w:rsidR="00071F74">
        <w:rPr>
          <w:rFonts w:ascii="Times New Roman" w:hAnsi="Times New Roman" w:cs="Times New Roman"/>
          <w:b w:val="0"/>
          <w:sz w:val="24"/>
          <w:szCs w:val="24"/>
        </w:rPr>
        <w:t>атьей</w:t>
      </w:r>
      <w:r w:rsidR="006834FA" w:rsidRPr="00071F74">
        <w:rPr>
          <w:rFonts w:ascii="Times New Roman" w:hAnsi="Times New Roman" w:cs="Times New Roman"/>
          <w:b w:val="0"/>
          <w:sz w:val="24"/>
          <w:szCs w:val="24"/>
        </w:rPr>
        <w:t xml:space="preserve"> 174.3 Бюджетного кодекса Российской Федерации, постановлени</w:t>
      </w:r>
      <w:r w:rsidR="00002546" w:rsidRPr="00071F74">
        <w:rPr>
          <w:rFonts w:ascii="Times New Roman" w:hAnsi="Times New Roman" w:cs="Times New Roman"/>
          <w:b w:val="0"/>
          <w:sz w:val="24"/>
          <w:szCs w:val="24"/>
        </w:rPr>
        <w:t>ем</w:t>
      </w:r>
      <w:r w:rsidR="006834FA" w:rsidRPr="00071F74">
        <w:rPr>
          <w:rFonts w:ascii="Times New Roman" w:hAnsi="Times New Roman" w:cs="Times New Roman"/>
          <w:b w:val="0"/>
          <w:sz w:val="24"/>
          <w:szCs w:val="24"/>
        </w:rPr>
        <w:t xml:space="preserve"> Правительства РФ от 22 июня 2019г. № 796 «Об общих требованиях к оценке налоговых расходов субъектов Российской Федерации и муниципальных образований», </w:t>
      </w:r>
      <w:r w:rsidR="00BF4459" w:rsidRPr="00071F74">
        <w:rPr>
          <w:rFonts w:ascii="Times New Roman" w:hAnsi="Times New Roman" w:cs="Times New Roman"/>
          <w:b w:val="0"/>
          <w:sz w:val="24"/>
          <w:szCs w:val="24"/>
        </w:rPr>
        <w:t>Порядк</w:t>
      </w:r>
      <w:r w:rsidR="00002546" w:rsidRPr="00071F74">
        <w:rPr>
          <w:rFonts w:ascii="Times New Roman" w:hAnsi="Times New Roman" w:cs="Times New Roman"/>
          <w:b w:val="0"/>
          <w:sz w:val="24"/>
          <w:szCs w:val="24"/>
        </w:rPr>
        <w:t>ом</w:t>
      </w:r>
      <w:r w:rsidR="00BF4459" w:rsidRPr="00071F74">
        <w:rPr>
          <w:rFonts w:ascii="Times New Roman" w:hAnsi="Times New Roman" w:cs="Times New Roman"/>
          <w:b w:val="0"/>
          <w:sz w:val="24"/>
          <w:szCs w:val="24"/>
        </w:rPr>
        <w:t xml:space="preserve"> формирования перечня налоговых расходов МОГО «Ухта» и оценки налоговых расходов МОГО «Ухта», утвержденным постановлением администрации МОГО «Ухта» от 10.01.2020 №33 (далее – Порядок)</w:t>
      </w:r>
      <w:r w:rsidR="008D0DDB" w:rsidRPr="00071F7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 xml:space="preserve">2. </w:t>
      </w: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Понятия, используемые в настоящей Методике, соответствуют понятиям, установленным в </w:t>
      </w:r>
      <w:hyperlink r:id="rId8" w:history="1">
        <w:r w:rsidRPr="00071F7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</w:t>
        </w:r>
      </w:hyperlink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1A6B1C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орядка</w:t>
      </w: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9"/>
      <w:bookmarkEnd w:id="2"/>
      <w:r w:rsidRPr="00071F74">
        <w:rPr>
          <w:rFonts w:ascii="Times New Roman" w:hAnsi="Times New Roman" w:cs="Times New Roman"/>
          <w:sz w:val="24"/>
          <w:szCs w:val="24"/>
        </w:rPr>
        <w:t xml:space="preserve">3. В соответствии с настоящей Методикой осуществляется оценка эффективности следующих налоговых расходов </w:t>
      </w:r>
      <w:r w:rsidR="00BF4459" w:rsidRPr="00071F74">
        <w:rPr>
          <w:rFonts w:ascii="Times New Roman" w:hAnsi="Times New Roman" w:cs="Times New Roman"/>
          <w:sz w:val="24"/>
          <w:szCs w:val="24"/>
        </w:rPr>
        <w:t xml:space="preserve">МОГО «Ухта» </w:t>
      </w:r>
      <w:r w:rsidRPr="00071F74">
        <w:rPr>
          <w:rFonts w:ascii="Times New Roman" w:hAnsi="Times New Roman" w:cs="Times New Roman"/>
          <w:sz w:val="24"/>
          <w:szCs w:val="24"/>
        </w:rPr>
        <w:t>(далее - налоговые расходы):</w:t>
      </w:r>
    </w:p>
    <w:p w:rsidR="00252352" w:rsidRPr="00071F74" w:rsidRDefault="00BF4459" w:rsidP="00071F7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71F74">
        <w:rPr>
          <w:rFonts w:eastAsiaTheme="minorHAnsi"/>
          <w:lang w:eastAsia="en-US"/>
        </w:rPr>
        <w:t>а) освобождение</w:t>
      </w:r>
      <w:r w:rsidR="00252352" w:rsidRPr="00071F74">
        <w:rPr>
          <w:rFonts w:eastAsiaTheme="minorHAnsi"/>
          <w:lang w:eastAsia="en-US"/>
        </w:rPr>
        <w:t xml:space="preserve"> от уплаты земельного налога садоводческих товариществ, садово-огороднических некоммерческих товариществ и индивидуальных владельцев садовых, огородных земельных участков, в отношении земельных участков, предоставленных под садоводство, огородничество, за исключением земельных участков, используемых в предпринимательской деятельности;</w:t>
      </w:r>
    </w:p>
    <w:p w:rsidR="00252352" w:rsidRDefault="002334B0" w:rsidP="00071F7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71F74">
        <w:rPr>
          <w:rFonts w:ascii="Times New Roman" w:eastAsiaTheme="minorHAnsi" w:hAnsi="Times New Roman" w:cs="Times New Roman"/>
          <w:sz w:val="24"/>
          <w:szCs w:val="24"/>
          <w:lang w:eastAsia="en-US"/>
        </w:rPr>
        <w:t>б</w:t>
      </w:r>
      <w:r w:rsidR="00252352" w:rsidRPr="00071F74">
        <w:rPr>
          <w:rFonts w:ascii="Times New Roman" w:eastAsiaTheme="minorHAnsi" w:hAnsi="Times New Roman" w:cs="Times New Roman"/>
          <w:sz w:val="24"/>
          <w:szCs w:val="24"/>
          <w:lang w:eastAsia="en-US"/>
        </w:rPr>
        <w:t>) освобождение от уплаты земельного налога ветеранов Великой Отечественной войны, бывших несовершеннолетних узников лагерей, гетто и других мест принудительного содержания, созданных фашистами и их союзниками в период Второй мировой войны, лиц, награжденных знаком «Жителю блокадного Ленинграда», вдов (вдовцов) военнослужащих, погибших в период войны с Финляндией, Великой Отечественной войны, войны с Японией, вдовы (вдовцы) умерших инвалидов Великой Отечественной войны и участников</w:t>
      </w:r>
      <w:proofErr w:type="gramEnd"/>
      <w:r w:rsidR="00252352" w:rsidRPr="00071F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252352" w:rsidRPr="00071F74">
        <w:rPr>
          <w:rFonts w:ascii="Times New Roman" w:eastAsiaTheme="minorHAnsi" w:hAnsi="Times New Roman" w:cs="Times New Roman"/>
          <w:sz w:val="24"/>
          <w:szCs w:val="24"/>
          <w:lang w:eastAsia="en-US"/>
        </w:rPr>
        <w:t>Великой Отечественной войны, ветеранов Великой Отечественной войны - лиц, проработавших в тылу, бывших несовершеннолетних узников нацистских лагерей, тюрем и гетто в отношении земельных участков, приобретенных (предоставленных) для обслуживания индивидуального жилого дома, находящегося в собственности данного гражданина, а также земельных участков,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производства, а также земельных</w:t>
      </w:r>
      <w:proofErr w:type="gramEnd"/>
      <w:r w:rsidR="00252352" w:rsidRPr="00071F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участков, приобретенных (предоставленных) для личного подсобного хозяйства, огородничества или животноводства, садоводства и обслуживания индивидуальных гаражей, за исключением земельных участков, используемых в предпринимательской деятельности.</w:t>
      </w:r>
    </w:p>
    <w:p w:rsidR="00071F74" w:rsidRDefault="00071F74" w:rsidP="00071F74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</w:t>
      </w:r>
    </w:p>
    <w:p w:rsidR="00071F74" w:rsidRPr="00071F74" w:rsidRDefault="00071F74" w:rsidP="00071F7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 xml:space="preserve">4. Куратор налоговых расходов </w:t>
      </w:r>
      <w:r w:rsidR="00252352" w:rsidRPr="00071F74">
        <w:rPr>
          <w:rFonts w:ascii="Times New Roman" w:hAnsi="Times New Roman" w:cs="Times New Roman"/>
          <w:sz w:val="24"/>
          <w:szCs w:val="24"/>
        </w:rPr>
        <w:t>–</w:t>
      </w:r>
      <w:r w:rsidRPr="00071F74">
        <w:rPr>
          <w:rFonts w:ascii="Times New Roman" w:hAnsi="Times New Roman" w:cs="Times New Roman"/>
          <w:sz w:val="24"/>
          <w:szCs w:val="24"/>
        </w:rPr>
        <w:t xml:space="preserve"> </w:t>
      </w:r>
      <w:r w:rsidR="00252352" w:rsidRPr="00071F74">
        <w:rPr>
          <w:rFonts w:ascii="Times New Roman" w:hAnsi="Times New Roman" w:cs="Times New Roman"/>
          <w:sz w:val="24"/>
          <w:szCs w:val="24"/>
        </w:rPr>
        <w:t xml:space="preserve">социальный отдел администрации МОГО «Ухта» (далее – социальный отдел). </w:t>
      </w:r>
      <w:r w:rsidRPr="00071F74">
        <w:rPr>
          <w:rFonts w:ascii="Times New Roman" w:hAnsi="Times New Roman" w:cs="Times New Roman"/>
          <w:sz w:val="24"/>
          <w:szCs w:val="24"/>
        </w:rPr>
        <w:t xml:space="preserve">Оценка эффективности налоговых расходов проводится </w:t>
      </w:r>
      <w:r w:rsidR="00D2786A" w:rsidRPr="00071F74">
        <w:rPr>
          <w:rFonts w:ascii="Times New Roman" w:hAnsi="Times New Roman" w:cs="Times New Roman"/>
          <w:sz w:val="24"/>
          <w:szCs w:val="24"/>
        </w:rPr>
        <w:t xml:space="preserve">социальным отделом </w:t>
      </w:r>
      <w:r w:rsidR="00815142" w:rsidRPr="00071F74">
        <w:rPr>
          <w:rFonts w:ascii="Times New Roman" w:hAnsi="Times New Roman" w:cs="Times New Roman"/>
          <w:sz w:val="24"/>
          <w:szCs w:val="24"/>
        </w:rPr>
        <w:t>в срок до 1 сентября</w:t>
      </w:r>
      <w:r w:rsidRPr="00071F74">
        <w:rPr>
          <w:rFonts w:ascii="Times New Roman" w:hAnsi="Times New Roman" w:cs="Times New Roman"/>
          <w:sz w:val="24"/>
          <w:szCs w:val="24"/>
        </w:rPr>
        <w:t xml:space="preserve"> года, следующего </w:t>
      </w:r>
      <w:proofErr w:type="gramStart"/>
      <w:r w:rsidRPr="00071F7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71F74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7175EA" w:rsidRPr="00071F74" w:rsidRDefault="007175EA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 xml:space="preserve">5. Оценка эффективности налоговых расходов, предлагаемых к введению, проводится на стадии принятия решения о целесообразности и возможности установления льготы и необходимости подготовки соответствующего документа, устанавливающего льготу (налоговый расход) в соответствии с </w:t>
      </w:r>
      <w:r w:rsidR="004657B4" w:rsidRPr="00071F74">
        <w:rPr>
          <w:rFonts w:ascii="Times New Roman" w:hAnsi="Times New Roman" w:cs="Times New Roman"/>
          <w:sz w:val="24"/>
          <w:szCs w:val="24"/>
        </w:rPr>
        <w:t>критериями оценки, установленными настоящей Методикой.</w:t>
      </w:r>
    </w:p>
    <w:p w:rsidR="0069291F" w:rsidRPr="00071F74" w:rsidRDefault="004657B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6</w:t>
      </w:r>
      <w:r w:rsidR="0069291F" w:rsidRPr="00071F74">
        <w:rPr>
          <w:rFonts w:ascii="Times New Roman" w:hAnsi="Times New Roman" w:cs="Times New Roman"/>
          <w:sz w:val="24"/>
          <w:szCs w:val="24"/>
        </w:rPr>
        <w:t>. В качестве источников информации о нормативных, целевых и фискальных характеристиках налоговых расходов, подлежащей включению в паспорта налоговых расходов, а также используемой для проведения оценки эффективности налоговых расходов в соответствии с настоящей Методикой, могут использоваться данные:</w:t>
      </w:r>
    </w:p>
    <w:p w:rsidR="00C946B0" w:rsidRPr="00071F74" w:rsidRDefault="00C946B0" w:rsidP="00071F7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946B0" w:rsidRPr="00071F74" w:rsidRDefault="00C946B0" w:rsidP="00071F7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71F74">
        <w:rPr>
          <w:rFonts w:eastAsiaTheme="minorHAnsi"/>
          <w:lang w:eastAsia="en-US"/>
        </w:rPr>
        <w:t xml:space="preserve">- управления Федеральной налоговой службы (далее - ФНС); </w:t>
      </w:r>
    </w:p>
    <w:p w:rsidR="00D2786A" w:rsidRPr="00071F74" w:rsidRDefault="00C946B0" w:rsidP="0007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 xml:space="preserve">- </w:t>
      </w:r>
      <w:r w:rsidR="00D2786A" w:rsidRPr="00071F74">
        <w:rPr>
          <w:rFonts w:ascii="Times New Roman" w:hAnsi="Times New Roman" w:cs="Times New Roman"/>
          <w:sz w:val="24"/>
          <w:szCs w:val="24"/>
        </w:rPr>
        <w:t>Финансового управления администрации МОГО «Ухта»;</w:t>
      </w:r>
    </w:p>
    <w:p w:rsidR="0069291F" w:rsidRPr="00071F74" w:rsidRDefault="00C946B0" w:rsidP="0007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 xml:space="preserve">- </w:t>
      </w:r>
      <w:r w:rsidR="00D2786A" w:rsidRPr="00071F74">
        <w:rPr>
          <w:rFonts w:ascii="Times New Roman" w:hAnsi="Times New Roman" w:cs="Times New Roman"/>
          <w:sz w:val="24"/>
          <w:szCs w:val="24"/>
        </w:rPr>
        <w:t>и</w:t>
      </w:r>
      <w:r w:rsidR="0069291F" w:rsidRPr="00071F74">
        <w:rPr>
          <w:rFonts w:ascii="Times New Roman" w:hAnsi="Times New Roman" w:cs="Times New Roman"/>
          <w:sz w:val="24"/>
          <w:szCs w:val="24"/>
        </w:rPr>
        <w:t>ные сведения, необходимые для оценки эффективности налоговых расходов</w:t>
      </w:r>
      <w:r w:rsidR="00D2786A" w:rsidRPr="00071F74">
        <w:rPr>
          <w:rFonts w:ascii="Times New Roman" w:hAnsi="Times New Roman" w:cs="Times New Roman"/>
          <w:sz w:val="24"/>
          <w:szCs w:val="24"/>
        </w:rPr>
        <w:t xml:space="preserve"> </w:t>
      </w:r>
      <w:r w:rsidR="00071F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2786A" w:rsidRPr="00071F74">
        <w:rPr>
          <w:rFonts w:ascii="Times New Roman" w:hAnsi="Times New Roman" w:cs="Times New Roman"/>
          <w:sz w:val="24"/>
          <w:szCs w:val="24"/>
        </w:rPr>
        <w:t>МОГО «Ухта».</w:t>
      </w:r>
    </w:p>
    <w:p w:rsidR="0069291F" w:rsidRPr="00071F74" w:rsidRDefault="0069291F" w:rsidP="00071F74">
      <w:pPr>
        <w:pStyle w:val="ConsPlusNormal"/>
        <w:jc w:val="both"/>
      </w:pPr>
    </w:p>
    <w:p w:rsidR="00D2786A" w:rsidRPr="00071F74" w:rsidRDefault="00D2786A" w:rsidP="00071F74">
      <w:pPr>
        <w:pStyle w:val="ConsPlusTitle"/>
        <w:jc w:val="center"/>
        <w:outlineLvl w:val="1"/>
        <w:rPr>
          <w:b w:val="0"/>
        </w:rPr>
      </w:pPr>
    </w:p>
    <w:p w:rsidR="0069291F" w:rsidRPr="00071F74" w:rsidRDefault="0069291F" w:rsidP="00071F7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71F74">
        <w:rPr>
          <w:rFonts w:ascii="Times New Roman" w:hAnsi="Times New Roman" w:cs="Times New Roman"/>
          <w:b w:val="0"/>
          <w:sz w:val="24"/>
          <w:szCs w:val="24"/>
        </w:rPr>
        <w:t>Оценка эффективности налоговых расходов</w:t>
      </w:r>
    </w:p>
    <w:p w:rsidR="0069291F" w:rsidRPr="00071F74" w:rsidRDefault="0069291F" w:rsidP="00071F74">
      <w:pPr>
        <w:pStyle w:val="ConsPlusNormal"/>
        <w:jc w:val="both"/>
      </w:pPr>
    </w:p>
    <w:p w:rsidR="0069291F" w:rsidRPr="00071F74" w:rsidRDefault="004657B4" w:rsidP="00071F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9291F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Оценка эффективности налоговых расходов </w:t>
      </w:r>
      <w:r w:rsidR="00D2786A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МОГО «Ухта» </w:t>
      </w:r>
      <w:r w:rsidR="0069291F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осуществляется в соответствии с </w:t>
      </w:r>
      <w:hyperlink r:id="rId9" w:history="1">
        <w:proofErr w:type="gramStart"/>
        <w:r w:rsidR="0069291F" w:rsidRPr="00071F7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proofErr w:type="gramEnd"/>
      </w:hyperlink>
      <w:r w:rsidR="001A6B1C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орядком</w:t>
      </w:r>
      <w:r w:rsidR="0069291F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включает </w:t>
      </w: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оценку</w:t>
      </w:r>
      <w:r w:rsidR="0069291F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налоговых расходов </w:t>
      </w:r>
      <w:r w:rsid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D2786A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МОГО «Ухта» </w:t>
      </w:r>
      <w:r w:rsidR="0069291F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оценку результативности налоговых расходов </w:t>
      </w:r>
      <w:r w:rsidR="00D2786A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МОГО «Ухта»</w:t>
      </w:r>
      <w:r w:rsidR="0069291F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291F" w:rsidRPr="00071F74" w:rsidRDefault="004657B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8</w:t>
      </w:r>
      <w:r w:rsidR="0069291F" w:rsidRPr="00071F74">
        <w:rPr>
          <w:rFonts w:ascii="Times New Roman" w:hAnsi="Times New Roman" w:cs="Times New Roman"/>
          <w:sz w:val="24"/>
          <w:szCs w:val="24"/>
        </w:rPr>
        <w:t xml:space="preserve">. </w:t>
      </w:r>
      <w:r w:rsidRPr="00071F74">
        <w:rPr>
          <w:rFonts w:ascii="Times New Roman" w:hAnsi="Times New Roman" w:cs="Times New Roman"/>
          <w:sz w:val="24"/>
          <w:szCs w:val="24"/>
        </w:rPr>
        <w:t>Оценка целесообразности налоговых расходов проводится по следующим критериям:</w:t>
      </w:r>
    </w:p>
    <w:p w:rsidR="00DB2BC5" w:rsidRPr="00071F74" w:rsidRDefault="00DB2BC5" w:rsidP="00071F7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71F74">
        <w:rPr>
          <w:rFonts w:eastAsiaTheme="minorHAnsi"/>
          <w:lang w:eastAsia="en-US"/>
        </w:rPr>
        <w:t>- соответствие налоговых расходов МОГО «Ухта» цел</w:t>
      </w:r>
      <w:r w:rsidR="00A26AA8" w:rsidRPr="00071F74">
        <w:rPr>
          <w:rFonts w:eastAsiaTheme="minorHAnsi"/>
          <w:lang w:eastAsia="en-US"/>
        </w:rPr>
        <w:t xml:space="preserve">и </w:t>
      </w:r>
      <w:r w:rsidR="00D876ED" w:rsidRPr="00071F74">
        <w:t>МП «Социальная поддержка населения»</w:t>
      </w:r>
      <w:r w:rsidR="00D876ED" w:rsidRPr="00071F74">
        <w:rPr>
          <w:rFonts w:eastAsiaTheme="minorHAnsi"/>
          <w:lang w:eastAsia="en-US"/>
        </w:rPr>
        <w:t>;</w:t>
      </w:r>
    </w:p>
    <w:p w:rsidR="00DB2BC5" w:rsidRPr="00071F74" w:rsidRDefault="00DB2BC5" w:rsidP="00071F7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71F74">
        <w:rPr>
          <w:rFonts w:eastAsiaTheme="minorHAnsi"/>
          <w:lang w:eastAsia="en-US"/>
        </w:rPr>
        <w:t xml:space="preserve">- востребованность плательщиками предоставленных льгот, </w:t>
      </w:r>
      <w:proofErr w:type="gramStart"/>
      <w:r w:rsidRPr="00071F74">
        <w:rPr>
          <w:rFonts w:eastAsiaTheme="minorHAnsi"/>
          <w:lang w:eastAsia="en-US"/>
        </w:rPr>
        <w:t>которая</w:t>
      </w:r>
      <w:proofErr w:type="gramEnd"/>
      <w:r w:rsidRPr="00071F74">
        <w:rPr>
          <w:rFonts w:eastAsiaTheme="minorHAnsi"/>
          <w:lang w:eastAsia="en-US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DB2BC5" w:rsidRPr="00071F74" w:rsidRDefault="004657B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8</w:t>
      </w:r>
      <w:r w:rsidR="0069291F" w:rsidRPr="00071F74">
        <w:rPr>
          <w:rFonts w:ascii="Times New Roman" w:hAnsi="Times New Roman" w:cs="Times New Roman"/>
          <w:sz w:val="24"/>
          <w:szCs w:val="24"/>
        </w:rPr>
        <w:t xml:space="preserve">.1. Оценка целесообразности налоговых расходов, указанных </w:t>
      </w:r>
      <w:r w:rsidR="0069291F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39" w:history="1">
        <w:r w:rsidR="0069291F" w:rsidRPr="00071F7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</w:t>
        </w:r>
      </w:hyperlink>
      <w:r w:rsidR="0069291F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9291F" w:rsidRPr="00071F74">
        <w:rPr>
          <w:rFonts w:ascii="Times New Roman" w:hAnsi="Times New Roman" w:cs="Times New Roman"/>
          <w:sz w:val="24"/>
          <w:szCs w:val="24"/>
        </w:rPr>
        <w:t xml:space="preserve"> проводится для определения соответствия налоговых расходов цел</w:t>
      </w:r>
      <w:r w:rsidR="00D876ED" w:rsidRPr="00071F74">
        <w:rPr>
          <w:rFonts w:ascii="Times New Roman" w:hAnsi="Times New Roman" w:cs="Times New Roman"/>
          <w:sz w:val="24"/>
          <w:szCs w:val="24"/>
        </w:rPr>
        <w:t>и</w:t>
      </w:r>
      <w:r w:rsidR="0069291F" w:rsidRPr="00071F74">
        <w:rPr>
          <w:rFonts w:ascii="Times New Roman" w:hAnsi="Times New Roman" w:cs="Times New Roman"/>
          <w:sz w:val="24"/>
          <w:szCs w:val="24"/>
        </w:rPr>
        <w:t xml:space="preserve"> </w:t>
      </w:r>
      <w:r w:rsidR="00D876ED" w:rsidRPr="00071F74">
        <w:rPr>
          <w:rFonts w:ascii="Times New Roman" w:hAnsi="Times New Roman" w:cs="Times New Roman"/>
          <w:sz w:val="24"/>
          <w:szCs w:val="24"/>
        </w:rPr>
        <w:t>МП «Социальная поддержка населения»</w:t>
      </w:r>
      <w:r w:rsidR="00DB2BC5" w:rsidRPr="00071F74">
        <w:rPr>
          <w:rFonts w:ascii="Times New Roman" w:hAnsi="Times New Roman" w:cs="Times New Roman"/>
          <w:sz w:val="24"/>
          <w:szCs w:val="24"/>
        </w:rPr>
        <w:t>:</w:t>
      </w:r>
    </w:p>
    <w:p w:rsidR="0009739A" w:rsidRDefault="0009739A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071F74" w:rsidRP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291F" w:rsidRPr="00071F74" w:rsidRDefault="0069291F" w:rsidP="00071F74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3"/>
        <w:gridCol w:w="2252"/>
        <w:gridCol w:w="1985"/>
      </w:tblGrid>
      <w:tr w:rsidR="0069291F" w:rsidRPr="00071F74" w:rsidTr="00071F74"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91F" w:rsidRPr="00071F74" w:rsidRDefault="00DB2BC5" w:rsidP="00071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1F74">
              <w:rPr>
                <w:rFonts w:ascii="Times New Roman" w:hAnsi="Times New Roman" w:cs="Times New Roman"/>
                <w:sz w:val="20"/>
              </w:rPr>
              <w:t>Н</w:t>
            </w:r>
            <w:r w:rsidR="0069291F" w:rsidRPr="00071F74">
              <w:rPr>
                <w:rFonts w:ascii="Times New Roman" w:hAnsi="Times New Roman" w:cs="Times New Roman"/>
                <w:sz w:val="20"/>
              </w:rPr>
              <w:t>аименование налогового расхода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91F" w:rsidRPr="00071F74" w:rsidRDefault="0069291F" w:rsidP="00071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1F74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r w:rsidR="00DB2BC5" w:rsidRPr="00071F74">
              <w:rPr>
                <w:rFonts w:ascii="Times New Roman" w:hAnsi="Times New Roman" w:cs="Times New Roman"/>
                <w:sz w:val="20"/>
              </w:rPr>
              <w:t>муниципальной программы МОГО «Ухта»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91F" w:rsidRPr="00071F74" w:rsidRDefault="0069291F" w:rsidP="00071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1F74">
              <w:rPr>
                <w:rFonts w:ascii="Times New Roman" w:hAnsi="Times New Roman" w:cs="Times New Roman"/>
                <w:sz w:val="20"/>
              </w:rPr>
              <w:t xml:space="preserve">Цель </w:t>
            </w:r>
          </w:p>
          <w:p w:rsidR="00DB2BC5" w:rsidRPr="00071F74" w:rsidRDefault="00DB2BC5" w:rsidP="00071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1F74">
              <w:rPr>
                <w:rFonts w:ascii="Times New Roman" w:hAnsi="Times New Roman" w:cs="Times New Roman"/>
                <w:sz w:val="20"/>
              </w:rPr>
              <w:t>муниципальной программы МОГО «Ухта»</w:t>
            </w:r>
          </w:p>
        </w:tc>
      </w:tr>
      <w:tr w:rsidR="0069291F" w:rsidRPr="00071F74" w:rsidTr="00C67C63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3" w:rsidRPr="00071F74" w:rsidRDefault="00C67C63" w:rsidP="00071F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71F74">
              <w:rPr>
                <w:rFonts w:eastAsiaTheme="minorHAnsi"/>
                <w:sz w:val="20"/>
                <w:szCs w:val="20"/>
                <w:lang w:eastAsia="en-US"/>
              </w:rPr>
              <w:t>- освобождение от уплаты земельного налога садоводческих товариществ, садово-огороднических некоммерческих товариществ и индивидуальных владельцев садовых, огородных земельных участков, в отношении земельных участков, предоставленных под садоводство, огородничество, за исключением земельных участков, используемых в предпринимательской деятельности;</w:t>
            </w:r>
          </w:p>
          <w:p w:rsidR="00C67C63" w:rsidRPr="00071F74" w:rsidRDefault="00C67C63" w:rsidP="00071F7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gramStart"/>
            <w:r w:rsidRPr="00071F74">
              <w:rPr>
                <w:rFonts w:ascii="Times New Roman" w:eastAsiaTheme="minorHAnsi" w:hAnsi="Times New Roman" w:cs="Times New Roman"/>
                <w:sz w:val="20"/>
                <w:lang w:eastAsia="en-US"/>
              </w:rPr>
              <w:t>- освобождение от уплаты земельного налога ветеранов Великой Отечественной войны, бывших несовершеннолетних узников лагерей, гетто и других мест принудительного содержания, созданных фашистами и их союзниками в период Второй мировой войны, лиц, награжденных знаком «Жителю блокадного Ленинграда», вдов (вдовцов) военнослужащих, погибших в период войны с Финляндией, Великой Отечественной войны, войны с Японией, вдовы (вдовцы) умерших инвалидов Великой Отечественной войны и участников Великой</w:t>
            </w:r>
            <w:proofErr w:type="gramEnd"/>
            <w:r w:rsidRPr="00071F74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</w:t>
            </w:r>
            <w:proofErr w:type="gramStart"/>
            <w:r w:rsidRPr="00071F74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Отечественной войны, ветеранов Великой Отечественной войны - лиц, проработавших в тылу, бывших несовершеннолетних узников нацистских лагерей, тюрем и гетто в отношении земельных участков, приобретенных (предоставленных) для обслуживания индивидуального жилого дома, находящегося в собственности данного гражданина, а также земельных участков,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производства, а также земельных участков</w:t>
            </w:r>
            <w:proofErr w:type="gramEnd"/>
            <w:r w:rsidRPr="00071F74">
              <w:rPr>
                <w:rFonts w:ascii="Times New Roman" w:eastAsiaTheme="minorHAnsi" w:hAnsi="Times New Roman" w:cs="Times New Roman"/>
                <w:sz w:val="20"/>
                <w:lang w:eastAsia="en-US"/>
              </w:rPr>
              <w:t>, приобретенных (предоставленных) для личного подсобного хозяйства, огородничества или животноводства, садоводства и обслуживания индивидуальных гаражей, за исключением земельных участков, используемых в предпринимательской деятельности.</w:t>
            </w:r>
          </w:p>
          <w:p w:rsidR="0069291F" w:rsidRPr="00071F74" w:rsidRDefault="0069291F" w:rsidP="00071F74">
            <w:pPr>
              <w:pStyle w:val="ConsPlusNormal"/>
              <w:rPr>
                <w:sz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1F" w:rsidRPr="00071F74" w:rsidRDefault="00DB2BC5" w:rsidP="00071F74">
            <w:pPr>
              <w:pStyle w:val="ConsPlusNormal"/>
              <w:rPr>
                <w:sz w:val="20"/>
              </w:rPr>
            </w:pPr>
            <w:r w:rsidRPr="00071F74">
              <w:rPr>
                <w:rFonts w:ascii="Times New Roman" w:hAnsi="Times New Roman" w:cs="Times New Roman"/>
                <w:sz w:val="20"/>
              </w:rPr>
              <w:t>Муниципальная программа МОГО «Ухта» «Социальная поддержка населения», утвержденная постановлением администрации МОГО «Ухта</w:t>
            </w:r>
            <w:r w:rsidR="00C67C63" w:rsidRPr="00071F74">
              <w:rPr>
                <w:rFonts w:ascii="Times New Roman" w:hAnsi="Times New Roman" w:cs="Times New Roman"/>
                <w:sz w:val="20"/>
              </w:rPr>
              <w:t>» от 26.11.2020 г. № 3285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C63" w:rsidRPr="00071F74" w:rsidRDefault="00C67C63" w:rsidP="00071F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71F74">
              <w:rPr>
                <w:rFonts w:eastAsiaTheme="minorHAnsi"/>
                <w:sz w:val="20"/>
                <w:szCs w:val="20"/>
                <w:lang w:eastAsia="en-US"/>
              </w:rPr>
              <w:t>Оказание социальной поддержки гражданам</w:t>
            </w:r>
          </w:p>
          <w:p w:rsidR="0069291F" w:rsidRPr="00071F74" w:rsidRDefault="0069291F" w:rsidP="00071F74">
            <w:pPr>
              <w:pStyle w:val="ConsPlusNormal"/>
              <w:rPr>
                <w:sz w:val="20"/>
              </w:rPr>
            </w:pPr>
          </w:p>
        </w:tc>
      </w:tr>
    </w:tbl>
    <w:p w:rsidR="00C67C63" w:rsidRPr="00071F74" w:rsidRDefault="00C67C63" w:rsidP="00071F74">
      <w:pPr>
        <w:pStyle w:val="ConsPlusNormal"/>
        <w:ind w:firstLine="540"/>
        <w:jc w:val="both"/>
      </w:pP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При оценке налогового расхода следует учитывать, что налоговый расход должен оказывать прямое или косвенное влияние на достижение цел</w:t>
      </w:r>
      <w:r w:rsidR="00D876ED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D876ED" w:rsidRPr="00071F74">
        <w:rPr>
          <w:rFonts w:ascii="Times New Roman" w:hAnsi="Times New Roman" w:cs="Times New Roman"/>
          <w:sz w:val="24"/>
          <w:szCs w:val="24"/>
        </w:rPr>
        <w:t>МП «Социальная поддержка населения».</w:t>
      </w: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Прямое влияние предполагает, что связь между налоговыми расходами и вышеуказанными целями должна быть понятной и однозначно воспринимаемой.</w:t>
      </w: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Косвенное влияние должно сопровождаться описанием обоснования взаимосвязи между налоговым расходом и вышеуказанными целями.</w:t>
      </w:r>
    </w:p>
    <w:p w:rsidR="0069291F" w:rsidRPr="00071F74" w:rsidRDefault="004657B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8</w:t>
      </w:r>
      <w:r w:rsidR="0069291F" w:rsidRPr="00071F74">
        <w:rPr>
          <w:rFonts w:ascii="Times New Roman" w:hAnsi="Times New Roman" w:cs="Times New Roman"/>
          <w:sz w:val="24"/>
          <w:szCs w:val="24"/>
        </w:rPr>
        <w:t xml:space="preserve">.2. Определение востребованности плательщиками предоставленных налоговых льгот, </w:t>
      </w:r>
      <w:proofErr w:type="gramStart"/>
      <w:r w:rsidR="0069291F" w:rsidRPr="00071F7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69291F" w:rsidRPr="00071F74">
        <w:rPr>
          <w:rFonts w:ascii="Times New Roman" w:hAnsi="Times New Roman" w:cs="Times New Roman"/>
          <w:sz w:val="24"/>
          <w:szCs w:val="24"/>
        </w:rPr>
        <w:t xml:space="preserve"> характеризуется средним за 5-летний период соотношением численности плательщиков, воспользовавшихся правом на льготы, и общей численности плательщиков, имеющих право на применение льгот в отчетном периоде.</w:t>
      </w:r>
    </w:p>
    <w:p w:rsidR="0009739A" w:rsidRPr="00071F74" w:rsidRDefault="0009739A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39A" w:rsidRPr="00071F74" w:rsidRDefault="0009739A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Востребованность плательщиком предоставленных налоговых льгот рассчитывается по формуле:</w:t>
      </w:r>
    </w:p>
    <w:p w:rsidR="0069291F" w:rsidRDefault="0069291F" w:rsidP="0007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071F74" w:rsidRPr="00071F74" w:rsidRDefault="00071F74" w:rsidP="0007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noProof/>
          <w:position w:val="-37"/>
          <w:sz w:val="24"/>
          <w:szCs w:val="24"/>
        </w:rPr>
        <w:drawing>
          <wp:inline distT="0" distB="0" distL="0" distR="0" wp14:anchorId="2A3416F6" wp14:editId="2B61B6B5">
            <wp:extent cx="1512570" cy="621030"/>
            <wp:effectExtent l="0" t="0" r="0" b="0"/>
            <wp:docPr id="3" name="Рисунок 3" descr="base_1_384861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84861_3276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1F" w:rsidRPr="00071F74" w:rsidRDefault="0069291F" w:rsidP="0007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где:</w:t>
      </w: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D - уровень востребованности льготы;</w:t>
      </w: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i - порядковый номер года, имеющий значение от 1 до 5;</w:t>
      </w: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F74">
        <w:rPr>
          <w:rFonts w:ascii="Times New Roman" w:hAnsi="Times New Roman" w:cs="Times New Roman"/>
          <w:sz w:val="24"/>
          <w:szCs w:val="24"/>
        </w:rPr>
        <w:t>TP</w:t>
      </w:r>
      <w:r w:rsidRPr="00071F74">
        <w:rPr>
          <w:rFonts w:ascii="Times New Roman" w:hAnsi="Times New Roman" w:cs="Times New Roman"/>
          <w:sz w:val="24"/>
          <w:szCs w:val="24"/>
          <w:vertAlign w:val="superscript"/>
        </w:rPr>
        <w:t>'</w:t>
      </w:r>
      <w:r w:rsidRPr="00071F7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071F74">
        <w:rPr>
          <w:rFonts w:ascii="Times New Roman" w:hAnsi="Times New Roman" w:cs="Times New Roman"/>
          <w:sz w:val="24"/>
          <w:szCs w:val="24"/>
        </w:rPr>
        <w:t xml:space="preserve"> - численность плательщиков, воспользовавшихся правом на льготу, в i-м году;</w:t>
      </w: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071F74">
        <w:rPr>
          <w:rFonts w:ascii="Times New Roman" w:hAnsi="Times New Roman" w:cs="Times New Roman"/>
          <w:sz w:val="24"/>
          <w:szCs w:val="24"/>
        </w:rPr>
        <w:t>TP</w:t>
      </w:r>
      <w:r w:rsidRPr="00071F7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071F74">
        <w:rPr>
          <w:rFonts w:ascii="Times New Roman" w:hAnsi="Times New Roman" w:cs="Times New Roman"/>
          <w:sz w:val="24"/>
          <w:szCs w:val="24"/>
        </w:rPr>
        <w:t xml:space="preserve"> - общая численность плательщиков, имеющи</w:t>
      </w:r>
      <w:r w:rsidR="00C67C63" w:rsidRPr="00071F74">
        <w:rPr>
          <w:rFonts w:ascii="Times New Roman" w:hAnsi="Times New Roman" w:cs="Times New Roman"/>
          <w:sz w:val="24"/>
          <w:szCs w:val="24"/>
        </w:rPr>
        <w:t>х право на льготу в i-м году</w:t>
      </w:r>
    </w:p>
    <w:p w:rsidR="003E69D7" w:rsidRPr="00071F74" w:rsidRDefault="003E69D7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Под общей численностью плательщиков понимается количество плательщиков, потенциально имеющих право на получение данной льготы.</w:t>
      </w: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 xml:space="preserve">Общая численность плательщиков определяется на основании данных </w:t>
      </w:r>
      <w:r w:rsidR="003E69D7" w:rsidRPr="00071F74">
        <w:rPr>
          <w:rFonts w:ascii="Times New Roman" w:hAnsi="Times New Roman" w:cs="Times New Roman"/>
          <w:sz w:val="24"/>
          <w:szCs w:val="24"/>
        </w:rPr>
        <w:t xml:space="preserve">ФНС </w:t>
      </w:r>
      <w:r w:rsidRPr="00071F74">
        <w:rPr>
          <w:rFonts w:ascii="Times New Roman" w:hAnsi="Times New Roman" w:cs="Times New Roman"/>
          <w:sz w:val="24"/>
          <w:szCs w:val="24"/>
        </w:rPr>
        <w:t>и иных источников информации</w:t>
      </w:r>
      <w:r w:rsidR="0041774C" w:rsidRPr="00071F74">
        <w:rPr>
          <w:rFonts w:ascii="Times New Roman" w:hAnsi="Times New Roman" w:cs="Times New Roman"/>
          <w:sz w:val="24"/>
          <w:szCs w:val="24"/>
        </w:rPr>
        <w:t>.</w:t>
      </w: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71F7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71F74">
        <w:rPr>
          <w:rFonts w:ascii="Times New Roman" w:hAnsi="Times New Roman" w:cs="Times New Roman"/>
          <w:sz w:val="24"/>
          <w:szCs w:val="24"/>
        </w:rPr>
        <w:t xml:space="preserve"> если налоговая льгота действует менее 5 лет, то оценка ее востребованности проводится за фактический и прогнозный периоды действия льготы, сумма которых составляет 5 лет.</w:t>
      </w: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Налоговая льгота считается востребованной при достижении порогового значения востребованности, установленного в </w:t>
      </w:r>
      <w:hyperlink w:anchor="P175" w:history="1">
        <w:r w:rsidRPr="00071F7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приложении </w:t>
        </w:r>
        <w:r w:rsidR="0041774C" w:rsidRPr="00071F74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№1</w:t>
        </w:r>
      </w:hyperlink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настоящей Методике.</w:t>
      </w:r>
    </w:p>
    <w:p w:rsidR="004657B4" w:rsidRPr="00071F74" w:rsidRDefault="004657B4" w:rsidP="00071F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8.3. В случае несоответствия налоговых расходов хотя бы одному из критериев, указанных в пункте 8, социальный отдел представляет в Финансовое управление администрации МОГО «Ухта» до 1 сентября предложения о сохранении (уточнении, отмене) предоставленных плательщикам льгот.</w:t>
      </w:r>
    </w:p>
    <w:p w:rsidR="0069291F" w:rsidRPr="00071F74" w:rsidRDefault="004657B4" w:rsidP="00071F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94"/>
      <w:bookmarkEnd w:id="3"/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69291F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проведении оценки результативности налоговых расходов, указанных в </w:t>
      </w:r>
      <w:hyperlink w:anchor="P39" w:history="1">
        <w:r w:rsidR="0069291F" w:rsidRPr="00071F7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</w:t>
        </w:r>
      </w:hyperlink>
      <w:r w:rsidR="0069291F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Методики, необходимо исходить из того, что данные налоговые расходы носят социальный характер.</w:t>
      </w:r>
    </w:p>
    <w:p w:rsidR="006F25E2" w:rsidRPr="00071F74" w:rsidRDefault="0069291F" w:rsidP="00071F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071F74">
        <w:rPr>
          <w:color w:val="000000" w:themeColor="text1"/>
        </w:rPr>
        <w:t xml:space="preserve">Оценка результативности налоговых расходов осуществляется с применением критерия результативности, показателя (индикатора), на значение которого оказывают влияние налоговые расходы, указанные в </w:t>
      </w:r>
      <w:hyperlink w:anchor="P39" w:history="1">
        <w:r w:rsidRPr="00071F74">
          <w:rPr>
            <w:color w:val="000000" w:themeColor="text1"/>
          </w:rPr>
          <w:t>пункте 3</w:t>
        </w:r>
      </w:hyperlink>
      <w:r w:rsidRPr="00071F74">
        <w:rPr>
          <w:color w:val="000000" w:themeColor="text1"/>
        </w:rPr>
        <w:t xml:space="preserve"> настоящей Методики</w:t>
      </w:r>
      <w:r w:rsidR="00106A16" w:rsidRPr="00071F74">
        <w:t xml:space="preserve"> </w:t>
      </w:r>
      <w:r w:rsidR="00FF6ABD" w:rsidRPr="00071F74">
        <w:t>–</w:t>
      </w:r>
      <w:r w:rsidR="00106A16" w:rsidRPr="00071F74">
        <w:t xml:space="preserve"> </w:t>
      </w:r>
      <w:r w:rsidR="006F25E2" w:rsidRPr="00071F74">
        <w:t>«доля отдельных категорий граждан, получивших социальную поддержку, к общему количеству граждан, обратившихся и имеющих право на получение данной поддержки</w:t>
      </w:r>
      <w:r w:rsidR="006F25E2" w:rsidRPr="00071F74">
        <w:rPr>
          <w:rFonts w:eastAsiaTheme="minorHAnsi"/>
          <w:lang w:eastAsia="en-US"/>
        </w:rPr>
        <w:t>».</w:t>
      </w:r>
      <w:proofErr w:type="gramEnd"/>
    </w:p>
    <w:p w:rsidR="00800F9F" w:rsidRPr="00071F74" w:rsidRDefault="00800F9F" w:rsidP="00071F74">
      <w:pPr>
        <w:tabs>
          <w:tab w:val="left" w:pos="3934"/>
        </w:tabs>
        <w:ind w:firstLine="567"/>
      </w:pPr>
    </w:p>
    <w:p w:rsidR="0069291F" w:rsidRPr="00071F74" w:rsidRDefault="004657B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9</w:t>
      </w:r>
      <w:r w:rsidR="0069291F" w:rsidRPr="00071F74">
        <w:rPr>
          <w:rFonts w:ascii="Times New Roman" w:hAnsi="Times New Roman" w:cs="Times New Roman"/>
          <w:sz w:val="24"/>
          <w:szCs w:val="24"/>
        </w:rPr>
        <w:t xml:space="preserve">.1. </w:t>
      </w:r>
      <w:r w:rsidRPr="00071F74">
        <w:rPr>
          <w:rFonts w:ascii="Times New Roman" w:hAnsi="Times New Roman" w:cs="Times New Roman"/>
          <w:sz w:val="24"/>
          <w:szCs w:val="24"/>
        </w:rPr>
        <w:t xml:space="preserve">Оценка результативности налоговых </w:t>
      </w:r>
      <w:r w:rsidR="003F1DF9" w:rsidRPr="00071F74">
        <w:rPr>
          <w:rFonts w:ascii="Times New Roman" w:hAnsi="Times New Roman" w:cs="Times New Roman"/>
          <w:sz w:val="24"/>
          <w:szCs w:val="24"/>
        </w:rPr>
        <w:t>расходов проводится в соответствии с пунктами 22 – 26 Порядка и</w:t>
      </w:r>
      <w:r w:rsidR="0069291F" w:rsidRPr="00071F74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оценку вклада налоговой льготы, обуславливающей налоговый расход, в изменение значения показателя (индикатора);</w:t>
      </w: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 xml:space="preserve">оценку бюджетной эффективности налоговых расходов </w:t>
      </w:r>
      <w:r w:rsidR="0041774C" w:rsidRPr="00071F74">
        <w:rPr>
          <w:rFonts w:ascii="Times New Roman" w:hAnsi="Times New Roman" w:cs="Times New Roman"/>
          <w:sz w:val="24"/>
          <w:szCs w:val="24"/>
        </w:rPr>
        <w:t>МОГО «Ухта»</w:t>
      </w:r>
      <w:r w:rsidRPr="00071F74">
        <w:rPr>
          <w:rFonts w:ascii="Times New Roman" w:hAnsi="Times New Roman" w:cs="Times New Roman"/>
          <w:sz w:val="24"/>
          <w:szCs w:val="24"/>
        </w:rPr>
        <w:t>.</w:t>
      </w: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Оценка вклада налоговой льготы, обуславливающей налоговый расход, в изменении значения показателя (</w:t>
      </w:r>
      <w:proofErr w:type="spellStart"/>
      <w:r w:rsidRPr="00071F7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71F74">
        <w:rPr>
          <w:rFonts w:ascii="Times New Roman" w:hAnsi="Times New Roman" w:cs="Times New Roman"/>
          <w:sz w:val="24"/>
          <w:szCs w:val="24"/>
        </w:rPr>
        <w:t>) определяется по следующей формуле:</w:t>
      </w:r>
    </w:p>
    <w:p w:rsidR="0069291F" w:rsidRPr="00071F74" w:rsidRDefault="0069291F" w:rsidP="0007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 wp14:anchorId="5EAB0156" wp14:editId="615F3A4C">
            <wp:extent cx="1546860" cy="429260"/>
            <wp:effectExtent l="0" t="0" r="0" b="0"/>
            <wp:docPr id="2" name="Рисунок 2" descr="base_1_384861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84861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1F" w:rsidRPr="00071F74" w:rsidRDefault="0069291F" w:rsidP="0007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где:</w:t>
      </w: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 xml:space="preserve">t - порядковый номер показателя (индикатора), </w:t>
      </w: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указанного в </w:t>
      </w:r>
      <w:hyperlink w:anchor="P94" w:history="1">
        <w:r w:rsidRPr="00071F7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пункте </w:t>
        </w:r>
      </w:hyperlink>
      <w:r w:rsidR="00860482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Методики;</w:t>
      </w: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71F74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071F74">
        <w:rPr>
          <w:rFonts w:ascii="Times New Roman" w:hAnsi="Times New Roman" w:cs="Times New Roman"/>
          <w:sz w:val="24"/>
          <w:szCs w:val="24"/>
        </w:rPr>
        <w:t xml:space="preserve"> - значение t-того показателя (индикатора), </w:t>
      </w: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указанного в </w:t>
      </w:r>
      <w:hyperlink w:anchor="P94" w:history="1">
        <w:r w:rsidRPr="00071F7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пункте </w:t>
        </w:r>
      </w:hyperlink>
      <w:r w:rsidR="00860482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Методики, в отчетном году;</w:t>
      </w:r>
    </w:p>
    <w:p w:rsidR="0069291F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71F74">
        <w:rPr>
          <w:rFonts w:ascii="Times New Roman" w:hAnsi="Times New Roman" w:cs="Times New Roman"/>
          <w:sz w:val="24"/>
          <w:szCs w:val="24"/>
        </w:rPr>
        <w:t>Pt</w:t>
      </w:r>
      <w:proofErr w:type="gramEnd"/>
      <w:r w:rsidRPr="00071F74">
        <w:rPr>
          <w:rFonts w:ascii="Times New Roman" w:hAnsi="Times New Roman" w:cs="Times New Roman"/>
          <w:sz w:val="24"/>
          <w:szCs w:val="24"/>
          <w:vertAlign w:val="subscript"/>
        </w:rPr>
        <w:t>баз</w:t>
      </w:r>
      <w:proofErr w:type="spellEnd"/>
      <w:r w:rsidRPr="00071F74">
        <w:rPr>
          <w:rFonts w:ascii="Times New Roman" w:hAnsi="Times New Roman" w:cs="Times New Roman"/>
          <w:sz w:val="24"/>
          <w:szCs w:val="24"/>
        </w:rPr>
        <w:t xml:space="preserve"> - оценка значения t-го показателя (индикатора), </w:t>
      </w: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указанного в </w:t>
      </w:r>
      <w:hyperlink w:anchor="P94" w:history="1">
        <w:r w:rsidRPr="00071F7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пункте </w:t>
        </w:r>
      </w:hyperlink>
      <w:r w:rsidR="00860482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Методики, в отчетном году в случае отсутствия налоговой льготы в отчетном</w:t>
      </w:r>
      <w:r w:rsidRPr="00071F74">
        <w:rPr>
          <w:rFonts w:ascii="Times New Roman" w:hAnsi="Times New Roman" w:cs="Times New Roman"/>
          <w:sz w:val="24"/>
          <w:szCs w:val="24"/>
        </w:rPr>
        <w:t xml:space="preserve"> году, оказывающей влияние на соответствующий показатель (индикатор).</w:t>
      </w:r>
    </w:p>
    <w:p w:rsid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F74" w:rsidRDefault="00071F74" w:rsidP="00071F7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:rsidR="00071F74" w:rsidRPr="00071F74" w:rsidRDefault="00071F74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44BB" w:rsidRPr="00071F74" w:rsidRDefault="003F1DF9" w:rsidP="00071F7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1F74">
        <w:rPr>
          <w:rFonts w:ascii="Times New Roman" w:hAnsi="Times New Roman" w:cs="Times New Roman"/>
          <w:sz w:val="24"/>
          <w:szCs w:val="24"/>
        </w:rPr>
        <w:t>9</w:t>
      </w:r>
      <w:r w:rsidR="0069291F" w:rsidRPr="00071F74">
        <w:rPr>
          <w:rFonts w:ascii="Times New Roman" w:hAnsi="Times New Roman" w:cs="Times New Roman"/>
          <w:sz w:val="24"/>
          <w:szCs w:val="24"/>
        </w:rPr>
        <w:t xml:space="preserve">.2. </w:t>
      </w:r>
      <w:r w:rsidR="00B144BB" w:rsidRPr="00071F74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оценки бюджетной эффективности налоговых расходов МОГО «Ухта» осуществляются сравнительный анализ результативности предоставления льгот и результативности применения альтернативных механизмов достижения цел</w:t>
      </w:r>
      <w:r w:rsidR="00D876ED" w:rsidRPr="00071F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="00071F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</w:t>
      </w:r>
      <w:r w:rsidR="00D876ED" w:rsidRPr="00071F74">
        <w:rPr>
          <w:rFonts w:ascii="Times New Roman" w:hAnsi="Times New Roman" w:cs="Times New Roman"/>
          <w:sz w:val="24"/>
          <w:szCs w:val="24"/>
        </w:rPr>
        <w:t>МП «Социальная поддержка населения»</w:t>
      </w:r>
      <w:r w:rsidR="00B144BB" w:rsidRPr="00071F7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876ED" w:rsidRPr="00071F74" w:rsidRDefault="00D876ED" w:rsidP="00071F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71F74">
        <w:rPr>
          <w:rFonts w:eastAsiaTheme="minorHAnsi"/>
          <w:lang w:eastAsia="en-US"/>
        </w:rPr>
        <w:t xml:space="preserve">9.3. </w:t>
      </w:r>
      <w:proofErr w:type="gramStart"/>
      <w:r w:rsidRPr="00071F74">
        <w:rPr>
          <w:rFonts w:eastAsiaTheme="minorHAnsi"/>
          <w:lang w:eastAsia="en-US"/>
        </w:rPr>
        <w:t xml:space="preserve">Сравнительный анализ включает сравнение объемов расходов бюджета </w:t>
      </w:r>
      <w:r w:rsidR="00071F74">
        <w:rPr>
          <w:rFonts w:eastAsiaTheme="minorHAnsi"/>
          <w:lang w:eastAsia="en-US"/>
        </w:rPr>
        <w:t xml:space="preserve">               </w:t>
      </w:r>
      <w:r w:rsidRPr="00071F74">
        <w:rPr>
          <w:rFonts w:eastAsiaTheme="minorHAnsi"/>
          <w:lang w:eastAsia="en-US"/>
        </w:rPr>
        <w:t>МОГО «Ухта» в случае применения альтернативных механизмов достижения цели</w:t>
      </w:r>
      <w:r w:rsidR="00071F74">
        <w:rPr>
          <w:rFonts w:eastAsiaTheme="minorHAnsi"/>
          <w:lang w:eastAsia="en-US"/>
        </w:rPr>
        <w:t xml:space="preserve">                 </w:t>
      </w:r>
      <w:r w:rsidRPr="00071F74">
        <w:rPr>
          <w:rFonts w:eastAsiaTheme="minorHAnsi"/>
          <w:lang w:eastAsia="en-US"/>
        </w:rPr>
        <w:t xml:space="preserve"> МП «Социальная поддержка населения, и объемов предоставленных льгот (расчет прироста показателя (индикатора) достижения цели МП «Социальная поддержка населения», на 1 рубль налоговых расходов МОГО «Ухта» и на 1 рубль расходов бюджета МОГО «Ухта» для достижения того же показателя (индикатора) в случае применения альтернативных механизмов).</w:t>
      </w:r>
      <w:proofErr w:type="gramEnd"/>
    </w:p>
    <w:p w:rsidR="00B144BB" w:rsidRPr="00071F74" w:rsidRDefault="003F1DF9" w:rsidP="00071F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71F74">
        <w:rPr>
          <w:rFonts w:eastAsiaTheme="minorHAnsi"/>
          <w:lang w:eastAsia="en-US"/>
        </w:rPr>
        <w:t>9</w:t>
      </w:r>
      <w:r w:rsidR="00B144BB" w:rsidRPr="00071F74">
        <w:rPr>
          <w:rFonts w:eastAsiaTheme="minorHAnsi"/>
          <w:lang w:eastAsia="en-US"/>
        </w:rPr>
        <w:t>.4. В качестве альтернативных механизмов достижения цел</w:t>
      </w:r>
      <w:r w:rsidR="00957328" w:rsidRPr="00071F74">
        <w:rPr>
          <w:rFonts w:eastAsiaTheme="minorHAnsi"/>
          <w:lang w:eastAsia="en-US"/>
        </w:rPr>
        <w:t xml:space="preserve">и МП «Социальная поддержка населения» </w:t>
      </w:r>
      <w:r w:rsidR="00B144BB" w:rsidRPr="00071F74">
        <w:rPr>
          <w:rFonts w:eastAsiaTheme="minorHAnsi"/>
          <w:lang w:eastAsia="en-US"/>
        </w:rPr>
        <w:t>могут учитываться в том числе:</w:t>
      </w:r>
    </w:p>
    <w:p w:rsidR="00B144BB" w:rsidRPr="00071F74" w:rsidRDefault="00B144BB" w:rsidP="00071F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71F74">
        <w:rPr>
          <w:rFonts w:eastAsiaTheme="minorHAnsi"/>
          <w:lang w:eastAsia="en-US"/>
        </w:rPr>
        <w:t>1) субсидии или иные формы непосредственной финансовой поддержки плательщиков, имеющих право на льготы, за счет средств бюджета МОГО «Ухта»;</w:t>
      </w:r>
    </w:p>
    <w:p w:rsidR="00B144BB" w:rsidRPr="00071F74" w:rsidRDefault="00B144BB" w:rsidP="00071F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71F74">
        <w:rPr>
          <w:rFonts w:eastAsiaTheme="minorHAnsi"/>
          <w:lang w:eastAsia="en-US"/>
        </w:rPr>
        <w:t>2) предоставление муниципальных гарантий МОГО «Ухта» по обязательствам плательщиков, имеющих право на льготы;</w:t>
      </w:r>
    </w:p>
    <w:p w:rsidR="00B144BB" w:rsidRPr="00071F74" w:rsidRDefault="00B144BB" w:rsidP="00071F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71F74">
        <w:rPr>
          <w:rFonts w:eastAsiaTheme="minorHAnsi"/>
          <w:lang w:eastAsia="en-US"/>
        </w:rP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662F4B" w:rsidRPr="00071F74" w:rsidRDefault="00662F4B" w:rsidP="00071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9291F" w:rsidRPr="00071F74" w:rsidRDefault="003F1DF9" w:rsidP="00071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10</w:t>
      </w:r>
      <w:r w:rsidR="0069291F" w:rsidRPr="00071F74">
        <w:rPr>
          <w:rFonts w:ascii="Times New Roman" w:hAnsi="Times New Roman" w:cs="Times New Roman"/>
          <w:sz w:val="24"/>
          <w:szCs w:val="24"/>
        </w:rPr>
        <w:t>. Налоговые расходы признаются результативными в случае одновременного соблюдения следующих условий:</w:t>
      </w:r>
    </w:p>
    <w:p w:rsidR="0069291F" w:rsidRPr="00071F74" w:rsidRDefault="0069291F" w:rsidP="00071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оценка бюджетной эффективности принимает неотрицательное значение;</w:t>
      </w:r>
    </w:p>
    <w:p w:rsidR="0069291F" w:rsidRPr="00071F74" w:rsidRDefault="0069291F" w:rsidP="00071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оценка вклада налоговой льготы в изменение значения показателя принимает положительное значение.</w:t>
      </w:r>
    </w:p>
    <w:p w:rsidR="00957328" w:rsidRPr="00071F74" w:rsidRDefault="00957328" w:rsidP="00071F74">
      <w:pPr>
        <w:pStyle w:val="ConsPlusTitle"/>
        <w:jc w:val="center"/>
        <w:outlineLvl w:val="1"/>
        <w:rPr>
          <w:b w:val="0"/>
        </w:rPr>
      </w:pPr>
    </w:p>
    <w:p w:rsidR="0069291F" w:rsidRPr="00071F74" w:rsidRDefault="0069291F" w:rsidP="00071F7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71F74">
        <w:rPr>
          <w:rFonts w:ascii="Times New Roman" w:hAnsi="Times New Roman" w:cs="Times New Roman"/>
          <w:b w:val="0"/>
          <w:sz w:val="24"/>
          <w:szCs w:val="24"/>
        </w:rPr>
        <w:t>Порядок формирования выводов по результатам оценки</w:t>
      </w:r>
    </w:p>
    <w:p w:rsidR="0069291F" w:rsidRPr="00071F74" w:rsidRDefault="0069291F" w:rsidP="00071F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71F74">
        <w:rPr>
          <w:rFonts w:ascii="Times New Roman" w:hAnsi="Times New Roman" w:cs="Times New Roman"/>
          <w:b w:val="0"/>
          <w:sz w:val="24"/>
          <w:szCs w:val="24"/>
        </w:rPr>
        <w:t>эффективности налогового расхода</w:t>
      </w:r>
    </w:p>
    <w:p w:rsidR="0069291F" w:rsidRPr="00071F74" w:rsidRDefault="0069291F" w:rsidP="0007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1</w:t>
      </w:r>
      <w:r w:rsidR="003F1DF9" w:rsidRPr="00071F74">
        <w:rPr>
          <w:rFonts w:ascii="Times New Roman" w:hAnsi="Times New Roman" w:cs="Times New Roman"/>
          <w:sz w:val="24"/>
          <w:szCs w:val="24"/>
        </w:rPr>
        <w:t>1</w:t>
      </w:r>
      <w:r w:rsidRPr="00071F74">
        <w:rPr>
          <w:rFonts w:ascii="Times New Roman" w:hAnsi="Times New Roman" w:cs="Times New Roman"/>
          <w:sz w:val="24"/>
          <w:szCs w:val="24"/>
        </w:rPr>
        <w:t>. Сформированные по результатам оценки эффективности налогового расхода выводы включают в себя:</w:t>
      </w:r>
    </w:p>
    <w:p w:rsidR="0069291F" w:rsidRPr="00071F74" w:rsidRDefault="00BD2391" w:rsidP="0007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-</w:t>
      </w:r>
      <w:r w:rsidR="0069291F" w:rsidRPr="00071F74">
        <w:rPr>
          <w:rFonts w:ascii="Times New Roman" w:hAnsi="Times New Roman" w:cs="Times New Roman"/>
          <w:sz w:val="24"/>
          <w:szCs w:val="24"/>
        </w:rPr>
        <w:t>выводы о достижении целевых характеристик (критериев целесообразности) налогового расхода;</w:t>
      </w:r>
    </w:p>
    <w:p w:rsidR="0069291F" w:rsidRPr="00071F74" w:rsidRDefault="00BD2391" w:rsidP="00071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-</w:t>
      </w:r>
      <w:r w:rsidR="0069291F" w:rsidRPr="00071F74">
        <w:rPr>
          <w:rFonts w:ascii="Times New Roman" w:hAnsi="Times New Roman" w:cs="Times New Roman"/>
          <w:sz w:val="24"/>
          <w:szCs w:val="24"/>
        </w:rPr>
        <w:t xml:space="preserve">выводы о вкладе налогового расхода в достижение цели </w:t>
      </w:r>
      <w:r w:rsidR="00957328" w:rsidRPr="00071F74">
        <w:rPr>
          <w:rFonts w:ascii="Times New Roman" w:hAnsi="Times New Roman" w:cs="Times New Roman"/>
          <w:sz w:val="24"/>
          <w:szCs w:val="24"/>
        </w:rPr>
        <w:t xml:space="preserve">МП </w:t>
      </w:r>
      <w:r w:rsidR="008A0AD3" w:rsidRPr="00071F74">
        <w:rPr>
          <w:rFonts w:ascii="Times New Roman" w:hAnsi="Times New Roman" w:cs="Times New Roman"/>
          <w:sz w:val="24"/>
          <w:szCs w:val="24"/>
        </w:rPr>
        <w:t>«Социальная поддержка населения»</w:t>
      </w:r>
      <w:r w:rsidR="0069291F" w:rsidRPr="00071F74">
        <w:rPr>
          <w:rFonts w:ascii="Times New Roman" w:hAnsi="Times New Roman" w:cs="Times New Roman"/>
          <w:sz w:val="24"/>
          <w:szCs w:val="24"/>
        </w:rPr>
        <w:t>;</w:t>
      </w:r>
    </w:p>
    <w:p w:rsidR="0069291F" w:rsidRPr="00071F74" w:rsidRDefault="00BD2391" w:rsidP="00071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-</w:t>
      </w:r>
      <w:r w:rsidR="0069291F" w:rsidRPr="00071F74">
        <w:rPr>
          <w:rFonts w:ascii="Times New Roman" w:hAnsi="Times New Roman" w:cs="Times New Roman"/>
          <w:sz w:val="24"/>
          <w:szCs w:val="24"/>
        </w:rPr>
        <w:t>выводы о наличии или об отсутствии более результативных (менее затратных для бюджета</w:t>
      </w:r>
      <w:r w:rsidR="00662F4B" w:rsidRPr="00071F74">
        <w:rPr>
          <w:rFonts w:ascii="Times New Roman" w:hAnsi="Times New Roman" w:cs="Times New Roman"/>
          <w:sz w:val="24"/>
          <w:szCs w:val="24"/>
        </w:rPr>
        <w:t xml:space="preserve"> МОГО «Ухта»</w:t>
      </w:r>
      <w:r w:rsidR="0069291F" w:rsidRPr="00071F74">
        <w:rPr>
          <w:rFonts w:ascii="Times New Roman" w:hAnsi="Times New Roman" w:cs="Times New Roman"/>
          <w:sz w:val="24"/>
          <w:szCs w:val="24"/>
        </w:rPr>
        <w:t>) альтернативных механизмов</w:t>
      </w:r>
      <w:r w:rsidR="00662F4B" w:rsidRPr="00071F74">
        <w:rPr>
          <w:rFonts w:ascii="Times New Roman" w:hAnsi="Times New Roman" w:cs="Times New Roman"/>
          <w:sz w:val="24"/>
          <w:szCs w:val="24"/>
        </w:rPr>
        <w:t xml:space="preserve"> </w:t>
      </w:r>
      <w:r w:rsidR="0069291F" w:rsidRPr="00071F74">
        <w:rPr>
          <w:rFonts w:ascii="Times New Roman" w:hAnsi="Times New Roman" w:cs="Times New Roman"/>
          <w:sz w:val="24"/>
          <w:szCs w:val="24"/>
        </w:rPr>
        <w:t xml:space="preserve">достижения цели </w:t>
      </w:r>
      <w:r w:rsidR="00957328" w:rsidRPr="00071F74">
        <w:rPr>
          <w:rFonts w:ascii="Times New Roman" w:hAnsi="Times New Roman" w:cs="Times New Roman"/>
          <w:sz w:val="24"/>
          <w:szCs w:val="24"/>
        </w:rPr>
        <w:t xml:space="preserve">МП </w:t>
      </w:r>
      <w:r w:rsidR="008A0AD3" w:rsidRPr="00071F74">
        <w:rPr>
          <w:rFonts w:ascii="Times New Roman" w:hAnsi="Times New Roman" w:cs="Times New Roman"/>
          <w:sz w:val="24"/>
          <w:szCs w:val="24"/>
        </w:rPr>
        <w:t>«Социальная поддержка населения».</w:t>
      </w:r>
    </w:p>
    <w:p w:rsidR="0069291F" w:rsidRPr="00071F74" w:rsidRDefault="0069291F" w:rsidP="00071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Результаты оценки эффективности налогового расхода также должны максимально подробно отражать результаты оценки целесообразности и результативности налогового расхода.</w:t>
      </w:r>
    </w:p>
    <w:p w:rsidR="00BD2391" w:rsidRPr="00071F74" w:rsidRDefault="0069291F" w:rsidP="00071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 xml:space="preserve">Выводы должны отражать, является ли налоговый расход эффективным или неэффективным. </w:t>
      </w:r>
      <w:r w:rsidR="00BD2391" w:rsidRPr="00071F74">
        <w:rPr>
          <w:rFonts w:ascii="Times New Roman" w:hAnsi="Times New Roman" w:cs="Times New Roman"/>
          <w:sz w:val="24"/>
          <w:szCs w:val="24"/>
        </w:rPr>
        <w:t>Налоговый расход признается эффективным, если имеет положительную оценку эффективности налогового расхода. Оценка эффективности налогового расхода признается положительной при одновременном соблюдении следующих условий:</w:t>
      </w:r>
    </w:p>
    <w:p w:rsidR="00BD2391" w:rsidRPr="00071F74" w:rsidRDefault="00BD2391" w:rsidP="00071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-налоговый расход соответствует цел</w:t>
      </w:r>
      <w:r w:rsidR="00957328" w:rsidRPr="00071F74">
        <w:rPr>
          <w:rFonts w:ascii="Times New Roman" w:hAnsi="Times New Roman" w:cs="Times New Roman"/>
          <w:sz w:val="24"/>
          <w:szCs w:val="24"/>
        </w:rPr>
        <w:t xml:space="preserve">и МП </w:t>
      </w:r>
      <w:r w:rsidRPr="00071F74">
        <w:rPr>
          <w:rFonts w:ascii="Times New Roman" w:hAnsi="Times New Roman" w:cs="Times New Roman"/>
          <w:sz w:val="24"/>
          <w:szCs w:val="24"/>
        </w:rPr>
        <w:t>«Социальная поддержка населения»</w:t>
      </w:r>
      <w:r w:rsidR="000C64F2" w:rsidRPr="00071F7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D2391" w:rsidRPr="00071F74" w:rsidRDefault="00BD2391" w:rsidP="00071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-налоговый расход считается востребованным;</w:t>
      </w:r>
    </w:p>
    <w:p w:rsidR="00BD2391" w:rsidRPr="00071F74" w:rsidRDefault="00BD2391" w:rsidP="00071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-вклад налогового расхода имеет положительное значение;</w:t>
      </w:r>
    </w:p>
    <w:p w:rsidR="00BD2391" w:rsidRPr="00071F74" w:rsidRDefault="00BD2391" w:rsidP="00071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 xml:space="preserve">-положительная бюджетная эффективность налогового расхода. </w:t>
      </w:r>
    </w:p>
    <w:p w:rsidR="0069291F" w:rsidRPr="00071F74" w:rsidRDefault="0069291F" w:rsidP="00071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 xml:space="preserve">По итогам оценки эффективности </w:t>
      </w:r>
      <w:r w:rsidR="000E7232" w:rsidRPr="00071F74">
        <w:rPr>
          <w:rFonts w:ascii="Times New Roman" w:hAnsi="Times New Roman" w:cs="Times New Roman"/>
          <w:sz w:val="24"/>
          <w:szCs w:val="24"/>
        </w:rPr>
        <w:t>социальный отдел</w:t>
      </w:r>
      <w:r w:rsidRPr="00071F74">
        <w:rPr>
          <w:rFonts w:ascii="Times New Roman" w:hAnsi="Times New Roman" w:cs="Times New Roman"/>
          <w:sz w:val="24"/>
          <w:szCs w:val="24"/>
        </w:rPr>
        <w:t xml:space="preserve"> формирует вывод о необходимости сохранения, уточнения или отмене налоговых льгот, обуславливающих налоговые расходы.</w:t>
      </w:r>
    </w:p>
    <w:p w:rsidR="008A0AD3" w:rsidRDefault="00071F74" w:rsidP="00071F7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6</w:t>
      </w:r>
    </w:p>
    <w:p w:rsidR="00071F74" w:rsidRPr="00071F74" w:rsidRDefault="00071F74" w:rsidP="00071F7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69291F" w:rsidRPr="00071F74" w:rsidRDefault="0069291F" w:rsidP="00071F7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71F74">
        <w:rPr>
          <w:rFonts w:ascii="Times New Roman" w:hAnsi="Times New Roman" w:cs="Times New Roman"/>
          <w:b w:val="0"/>
          <w:sz w:val="24"/>
          <w:szCs w:val="24"/>
        </w:rPr>
        <w:t>Форматы отчетов по результатам проведения оценки</w:t>
      </w:r>
    </w:p>
    <w:p w:rsidR="0069291F" w:rsidRPr="00071F74" w:rsidRDefault="0069291F" w:rsidP="00071F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71F74">
        <w:rPr>
          <w:rFonts w:ascii="Times New Roman" w:hAnsi="Times New Roman" w:cs="Times New Roman"/>
          <w:b w:val="0"/>
          <w:sz w:val="24"/>
          <w:szCs w:val="24"/>
        </w:rPr>
        <w:t>эффективности налоговых расходов</w:t>
      </w:r>
    </w:p>
    <w:p w:rsidR="0069291F" w:rsidRPr="00071F74" w:rsidRDefault="0069291F" w:rsidP="0007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291F" w:rsidRPr="00071F74" w:rsidRDefault="0069291F" w:rsidP="00071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1</w:t>
      </w:r>
      <w:r w:rsidR="003F1DF9" w:rsidRPr="00071F74">
        <w:rPr>
          <w:rFonts w:ascii="Times New Roman" w:hAnsi="Times New Roman" w:cs="Times New Roman"/>
          <w:sz w:val="24"/>
          <w:szCs w:val="24"/>
        </w:rPr>
        <w:t>2</w:t>
      </w:r>
      <w:r w:rsidRPr="00071F74">
        <w:rPr>
          <w:rFonts w:ascii="Times New Roman" w:hAnsi="Times New Roman" w:cs="Times New Roman"/>
          <w:sz w:val="24"/>
          <w:szCs w:val="24"/>
        </w:rPr>
        <w:t xml:space="preserve">. По результатам оценки эффективности налоговых расходов </w:t>
      </w:r>
      <w:r w:rsidR="008A0AD3" w:rsidRPr="00071F74">
        <w:rPr>
          <w:rFonts w:ascii="Times New Roman" w:hAnsi="Times New Roman" w:cs="Times New Roman"/>
          <w:sz w:val="24"/>
          <w:szCs w:val="24"/>
        </w:rPr>
        <w:t>МОГО «Ухта»</w:t>
      </w:r>
      <w:r w:rsidR="00BD2391" w:rsidRPr="00071F74">
        <w:rPr>
          <w:rFonts w:ascii="Times New Roman" w:hAnsi="Times New Roman" w:cs="Times New Roman"/>
          <w:sz w:val="24"/>
          <w:szCs w:val="24"/>
        </w:rPr>
        <w:t xml:space="preserve"> социальный отдел формирует и направляет в Финансовое управление администрации МОГО «Ухта» </w:t>
      </w:r>
      <w:r w:rsidRPr="00071F74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69291F" w:rsidRPr="00071F74" w:rsidRDefault="0069291F" w:rsidP="00071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а) паспорт налогового расхода</w:t>
      </w:r>
      <w:r w:rsidR="00BA4EEC" w:rsidRPr="00071F74">
        <w:rPr>
          <w:rFonts w:ascii="Times New Roman" w:hAnsi="Times New Roman" w:cs="Times New Roman"/>
          <w:sz w:val="24"/>
          <w:szCs w:val="24"/>
        </w:rPr>
        <w:t xml:space="preserve"> МОГО «Ухта»</w:t>
      </w:r>
      <w:r w:rsidRPr="00071F74">
        <w:rPr>
          <w:rFonts w:ascii="Times New Roman" w:hAnsi="Times New Roman" w:cs="Times New Roman"/>
          <w:sz w:val="24"/>
          <w:szCs w:val="24"/>
        </w:rPr>
        <w:t>;</w:t>
      </w:r>
    </w:p>
    <w:p w:rsidR="0069291F" w:rsidRPr="00071F74" w:rsidRDefault="0069291F" w:rsidP="00071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 xml:space="preserve">б) результаты оценки эффективности налогового расхода </w:t>
      </w:r>
      <w:r w:rsidR="00BA4EEC" w:rsidRPr="00071F74">
        <w:rPr>
          <w:rFonts w:ascii="Times New Roman" w:hAnsi="Times New Roman" w:cs="Times New Roman"/>
          <w:sz w:val="24"/>
          <w:szCs w:val="24"/>
        </w:rPr>
        <w:t>МОГО «Ухта»</w:t>
      </w:r>
      <w:r w:rsidRPr="00071F74">
        <w:rPr>
          <w:rFonts w:ascii="Times New Roman" w:hAnsi="Times New Roman" w:cs="Times New Roman"/>
          <w:sz w:val="24"/>
          <w:szCs w:val="24"/>
        </w:rPr>
        <w:t>;</w:t>
      </w:r>
    </w:p>
    <w:p w:rsidR="0069291F" w:rsidRPr="00071F74" w:rsidRDefault="0069291F" w:rsidP="00071F7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 xml:space="preserve">в) рекомендации по результатам оценки эффективности налоговых расходов </w:t>
      </w:r>
      <w:r w:rsidR="00BA4EEC" w:rsidRPr="00071F74">
        <w:rPr>
          <w:rFonts w:ascii="Times New Roman" w:hAnsi="Times New Roman" w:cs="Times New Roman"/>
          <w:sz w:val="24"/>
          <w:szCs w:val="24"/>
        </w:rPr>
        <w:t>МОГО «Ухта»</w:t>
      </w:r>
      <w:r w:rsidRPr="00071F74">
        <w:rPr>
          <w:rFonts w:ascii="Times New Roman" w:hAnsi="Times New Roman" w:cs="Times New Roman"/>
          <w:sz w:val="24"/>
          <w:szCs w:val="24"/>
        </w:rPr>
        <w:t>.</w:t>
      </w:r>
    </w:p>
    <w:p w:rsidR="0069291F" w:rsidRPr="00071F74" w:rsidRDefault="0069291F" w:rsidP="00071F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F1DF9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Паспорт налогового расхода </w:t>
      </w:r>
      <w:r w:rsidR="00BA4EEC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МОГО «Ухта» </w:t>
      </w: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составляется по форме согласно </w:t>
      </w:r>
      <w:hyperlink w:anchor="P209" w:history="1">
        <w:r w:rsidRPr="00071F7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приложению </w:t>
        </w:r>
        <w:r w:rsidR="00BA4EEC" w:rsidRPr="00071F74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071F7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2</w:t>
        </w:r>
      </w:hyperlink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настоящей Методике.</w:t>
      </w:r>
    </w:p>
    <w:p w:rsidR="00BD2391" w:rsidRPr="00071F74" w:rsidRDefault="0069291F" w:rsidP="00071F74">
      <w:pPr>
        <w:pStyle w:val="ConsPlusNormal"/>
        <w:ind w:firstLine="540"/>
        <w:jc w:val="both"/>
      </w:pPr>
      <w:r w:rsidRPr="00071F74">
        <w:rPr>
          <w:rFonts w:ascii="Times New Roman" w:hAnsi="Times New Roman" w:cs="Times New Roman"/>
          <w:sz w:val="24"/>
          <w:szCs w:val="24"/>
        </w:rPr>
        <w:t>1</w:t>
      </w:r>
      <w:r w:rsidR="003F1DF9" w:rsidRPr="00071F74">
        <w:rPr>
          <w:rFonts w:ascii="Times New Roman" w:hAnsi="Times New Roman" w:cs="Times New Roman"/>
          <w:sz w:val="24"/>
          <w:szCs w:val="24"/>
        </w:rPr>
        <w:t>4</w:t>
      </w:r>
      <w:r w:rsidRPr="00071F74">
        <w:rPr>
          <w:rFonts w:ascii="Times New Roman" w:hAnsi="Times New Roman" w:cs="Times New Roman"/>
          <w:sz w:val="24"/>
          <w:szCs w:val="24"/>
        </w:rPr>
        <w:t xml:space="preserve">. </w:t>
      </w: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результаты должны соответствовать требованиям, отраженным в </w:t>
      </w:r>
      <w:hyperlink r:id="rId12" w:history="1">
        <w:r w:rsidRPr="00071F7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662F4B" w:rsidRPr="00071F74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орядке</w:t>
        </w:r>
      </w:hyperlink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Рекомендации по результатам оценки налоговых расходов </w:t>
      </w:r>
      <w:r w:rsidR="00BA4EEC"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МОГО «Ухта» </w:t>
      </w:r>
      <w:r w:rsidRPr="00071F74">
        <w:rPr>
          <w:rFonts w:ascii="Times New Roman" w:hAnsi="Times New Roman" w:cs="Times New Roman"/>
          <w:color w:val="000000" w:themeColor="text1"/>
          <w:sz w:val="24"/>
          <w:szCs w:val="24"/>
        </w:rPr>
        <w:t>должны содержать обоснование</w:t>
      </w:r>
      <w:r w:rsidRPr="00071F74">
        <w:rPr>
          <w:rFonts w:ascii="Times New Roman" w:hAnsi="Times New Roman" w:cs="Times New Roman"/>
          <w:sz w:val="24"/>
          <w:szCs w:val="24"/>
        </w:rPr>
        <w:t xml:space="preserve"> необходимости сохранения, уточнения или отмены налоговых льгот.</w:t>
      </w:r>
    </w:p>
    <w:p w:rsidR="00071F74" w:rsidRDefault="00071F74">
      <w:pPr>
        <w:spacing w:after="200" w:line="276" w:lineRule="auto"/>
        <w:rPr>
          <w:rFonts w:ascii="Calibri" w:hAnsi="Calibri" w:cs="Calibri"/>
          <w:sz w:val="22"/>
          <w:szCs w:val="20"/>
        </w:rPr>
      </w:pPr>
      <w:r>
        <w:br w:type="page"/>
      </w:r>
    </w:p>
    <w:p w:rsidR="0069291F" w:rsidRPr="00071F74" w:rsidRDefault="0069291F" w:rsidP="00071F74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071F74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BA4EEC" w:rsidRPr="00071F74">
        <w:rPr>
          <w:rFonts w:ascii="Times New Roman" w:hAnsi="Times New Roman" w:cs="Times New Roman"/>
          <w:sz w:val="20"/>
        </w:rPr>
        <w:t>№</w:t>
      </w:r>
      <w:r w:rsidRPr="00071F74">
        <w:rPr>
          <w:rFonts w:ascii="Times New Roman" w:hAnsi="Times New Roman" w:cs="Times New Roman"/>
          <w:sz w:val="20"/>
        </w:rPr>
        <w:t xml:space="preserve"> 1</w:t>
      </w:r>
    </w:p>
    <w:p w:rsidR="0041692E" w:rsidRPr="00071F74" w:rsidRDefault="0041692E" w:rsidP="00071F7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1F74">
        <w:rPr>
          <w:rFonts w:ascii="Times New Roman" w:hAnsi="Times New Roman" w:cs="Times New Roman"/>
          <w:sz w:val="20"/>
        </w:rPr>
        <w:t xml:space="preserve">к Методике оценки эффективности </w:t>
      </w:r>
    </w:p>
    <w:p w:rsidR="0041692E" w:rsidRPr="00071F74" w:rsidRDefault="0041692E" w:rsidP="00071F74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071F74">
        <w:rPr>
          <w:rFonts w:ascii="Times New Roman" w:hAnsi="Times New Roman" w:cs="Times New Roman"/>
          <w:b w:val="0"/>
          <w:sz w:val="20"/>
        </w:rPr>
        <w:t xml:space="preserve">налоговых расходов МОГО «Ухта», </w:t>
      </w:r>
    </w:p>
    <w:p w:rsidR="0041692E" w:rsidRPr="00071F74" w:rsidRDefault="0041692E" w:rsidP="00071F74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proofErr w:type="gramStart"/>
      <w:r w:rsidRPr="00071F74">
        <w:rPr>
          <w:rFonts w:ascii="Times New Roman" w:hAnsi="Times New Roman" w:cs="Times New Roman"/>
          <w:b w:val="0"/>
          <w:sz w:val="20"/>
        </w:rPr>
        <w:t>соответствующих</w:t>
      </w:r>
      <w:proofErr w:type="gramEnd"/>
      <w:r w:rsidRPr="00071F74">
        <w:rPr>
          <w:rFonts w:ascii="Times New Roman" w:hAnsi="Times New Roman" w:cs="Times New Roman"/>
          <w:b w:val="0"/>
          <w:sz w:val="20"/>
        </w:rPr>
        <w:t xml:space="preserve"> целям муниципальной </w:t>
      </w:r>
    </w:p>
    <w:p w:rsidR="0041692E" w:rsidRPr="00071F74" w:rsidRDefault="0041692E" w:rsidP="00071F74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071F74">
        <w:rPr>
          <w:rFonts w:ascii="Times New Roman" w:hAnsi="Times New Roman" w:cs="Times New Roman"/>
          <w:b w:val="0"/>
          <w:sz w:val="20"/>
        </w:rPr>
        <w:t xml:space="preserve">программы МОГО «Ухта» </w:t>
      </w:r>
    </w:p>
    <w:p w:rsidR="0041692E" w:rsidRPr="00071F74" w:rsidRDefault="0041692E" w:rsidP="00071F74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071F74">
        <w:rPr>
          <w:rFonts w:ascii="Times New Roman" w:hAnsi="Times New Roman" w:cs="Times New Roman"/>
          <w:b w:val="0"/>
          <w:sz w:val="20"/>
        </w:rPr>
        <w:t xml:space="preserve">в части оказания дополнительных мер </w:t>
      </w:r>
    </w:p>
    <w:p w:rsidR="0041692E" w:rsidRPr="00071F74" w:rsidRDefault="0041692E" w:rsidP="00071F74">
      <w:pPr>
        <w:pStyle w:val="ConsPlusTitle"/>
        <w:jc w:val="right"/>
        <w:rPr>
          <w:b w:val="0"/>
        </w:rPr>
      </w:pPr>
      <w:r w:rsidRPr="00071F74">
        <w:rPr>
          <w:rFonts w:ascii="Times New Roman" w:hAnsi="Times New Roman" w:cs="Times New Roman"/>
          <w:b w:val="0"/>
          <w:sz w:val="20"/>
        </w:rPr>
        <w:t>социальной поддержки граждан</w:t>
      </w:r>
    </w:p>
    <w:p w:rsidR="0069291F" w:rsidRPr="00071F74" w:rsidRDefault="0069291F" w:rsidP="00071F74">
      <w:pPr>
        <w:pStyle w:val="ConsPlusNormal"/>
        <w:jc w:val="both"/>
      </w:pPr>
    </w:p>
    <w:p w:rsidR="0041692E" w:rsidRPr="00071F74" w:rsidRDefault="0041692E" w:rsidP="00071F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" w:name="P175"/>
      <w:bookmarkEnd w:id="4"/>
    </w:p>
    <w:p w:rsidR="0069291F" w:rsidRPr="00071F74" w:rsidRDefault="0069291F" w:rsidP="00071F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71F74">
        <w:rPr>
          <w:rFonts w:ascii="Times New Roman" w:hAnsi="Times New Roman" w:cs="Times New Roman"/>
          <w:b w:val="0"/>
          <w:sz w:val="24"/>
          <w:szCs w:val="24"/>
        </w:rPr>
        <w:t>ПОРОГОВЫЕ ЗНАЧЕНИЯ</w:t>
      </w:r>
    </w:p>
    <w:p w:rsidR="0069291F" w:rsidRPr="00071F74" w:rsidRDefault="0069291F" w:rsidP="00071F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71F74">
        <w:rPr>
          <w:rFonts w:ascii="Times New Roman" w:hAnsi="Times New Roman" w:cs="Times New Roman"/>
          <w:b w:val="0"/>
          <w:sz w:val="24"/>
          <w:szCs w:val="24"/>
        </w:rPr>
        <w:t>ДЛЯ ОПРЕДЕЛЕНИЯ ВОСТРЕБОВАННОСТИ НАЛОГОВЫХ ЛЬГОТ</w:t>
      </w:r>
    </w:p>
    <w:p w:rsidR="0069291F" w:rsidRPr="00071F74" w:rsidRDefault="0069291F" w:rsidP="00071F74">
      <w:pPr>
        <w:pStyle w:val="ConsPlusNormal"/>
        <w:jc w:val="both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6564"/>
        <w:gridCol w:w="2498"/>
      </w:tblGrid>
      <w:tr w:rsidR="0069291F" w:rsidRPr="00071F74" w:rsidTr="00071F74">
        <w:tc>
          <w:tcPr>
            <w:tcW w:w="586" w:type="dxa"/>
          </w:tcPr>
          <w:p w:rsidR="0069291F" w:rsidRPr="00071F74" w:rsidRDefault="0069291F" w:rsidP="00071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64" w:type="dxa"/>
          </w:tcPr>
          <w:p w:rsidR="0041692E" w:rsidRPr="00071F74" w:rsidRDefault="0069291F" w:rsidP="00071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 xml:space="preserve">Краткое наименование налогового расхода </w:t>
            </w:r>
          </w:p>
          <w:p w:rsidR="0069291F" w:rsidRPr="00071F74" w:rsidRDefault="0041692E" w:rsidP="00071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МОГО «Ухта»</w:t>
            </w:r>
          </w:p>
        </w:tc>
        <w:tc>
          <w:tcPr>
            <w:tcW w:w="2498" w:type="dxa"/>
          </w:tcPr>
          <w:p w:rsidR="0069291F" w:rsidRPr="00071F74" w:rsidRDefault="0069291F" w:rsidP="00071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Пороговое значение для определения востребованности, %</w:t>
            </w:r>
          </w:p>
        </w:tc>
      </w:tr>
      <w:tr w:rsidR="0069291F" w:rsidRPr="00071F74" w:rsidTr="00071F74">
        <w:tc>
          <w:tcPr>
            <w:tcW w:w="586" w:type="dxa"/>
          </w:tcPr>
          <w:p w:rsidR="0069291F" w:rsidRPr="00071F74" w:rsidRDefault="0069291F" w:rsidP="00071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4" w:type="dxa"/>
            <w:vAlign w:val="bottom"/>
          </w:tcPr>
          <w:p w:rsidR="0069291F" w:rsidRPr="00071F74" w:rsidRDefault="0041692E" w:rsidP="00071F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71F74">
              <w:rPr>
                <w:rFonts w:eastAsiaTheme="minorHAnsi"/>
                <w:lang w:eastAsia="en-US"/>
              </w:rPr>
              <w:t>Освобождение от уплаты земельного налога садоводческих товариществ, садово-огороднических некоммерческих товариществ и индивидуальных владельцев садовых, огородных земельных участков, в отношении земельных участков, предоставленных под садоводство, огородничество, за исключением земельных участков, используемых в предпринимательской деятельности</w:t>
            </w:r>
          </w:p>
        </w:tc>
        <w:tc>
          <w:tcPr>
            <w:tcW w:w="2498" w:type="dxa"/>
            <w:vAlign w:val="center"/>
          </w:tcPr>
          <w:p w:rsidR="00662F4B" w:rsidRPr="00071F74" w:rsidRDefault="00662F4B" w:rsidP="00071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91F" w:rsidRPr="00071F74" w:rsidRDefault="0041692E" w:rsidP="00071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9291F" w:rsidRPr="00071F74" w:rsidTr="00071F74">
        <w:trPr>
          <w:trHeight w:val="6125"/>
        </w:trPr>
        <w:tc>
          <w:tcPr>
            <w:tcW w:w="586" w:type="dxa"/>
          </w:tcPr>
          <w:p w:rsidR="0041692E" w:rsidRPr="00071F74" w:rsidRDefault="0041692E" w:rsidP="00071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91F" w:rsidRPr="00071F74" w:rsidRDefault="0069291F" w:rsidP="00071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4" w:type="dxa"/>
          </w:tcPr>
          <w:p w:rsidR="0069291F" w:rsidRPr="00071F74" w:rsidRDefault="0041692E" w:rsidP="00071F7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71F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Освобождение от уплаты земельного налога ветеранов Великой Отечественной войны, бывших несовершеннолетних узников лагерей, гетто и других мест принудительного содержания, созданных фашистами и их союзниками в период Второй мировой войны, лиц, награжденных знаком «Жителю блокадного Ленинграда», вдов (вдовцов) военнослужащих, погибших в период войны с Финляндией, Великой Отечественной войны, войны с Японией, вдовы (вдовцы) умерших инвалидов Великой Отечественной войны и участников Великой</w:t>
            </w:r>
            <w:proofErr w:type="gramEnd"/>
            <w:r w:rsidRPr="00071F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71F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Отечественной войны, ветеранов Великой Отечественной войны - лиц, проработавших в тылу, бывших несовершеннолетних узников нацистских лагерей, тюрем и гетто в отношении земельных участков, приобретенных (предоставленных) для обслуживания индивидуального жилого дома, находящегося в собственности данного гражданина, а также земельных участков,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производства, а также земельных участков</w:t>
            </w:r>
            <w:proofErr w:type="gramEnd"/>
            <w:r w:rsidRPr="00071F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приобретенных (предоставленных) для личного подсобного хозяйства, огородничества или животноводства, садоводства и обслуживания индивидуальных гаражей, за исключением земельных участков, используемых в предпринимательской деятельности.</w:t>
            </w:r>
          </w:p>
        </w:tc>
        <w:tc>
          <w:tcPr>
            <w:tcW w:w="2498" w:type="dxa"/>
            <w:vAlign w:val="center"/>
          </w:tcPr>
          <w:p w:rsidR="0069291F" w:rsidRPr="00071F74" w:rsidRDefault="0041692E" w:rsidP="00071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69291F" w:rsidRPr="00071F74" w:rsidRDefault="0069291F" w:rsidP="00071F74">
      <w:pPr>
        <w:pStyle w:val="ConsPlusNormal"/>
        <w:jc w:val="both"/>
      </w:pPr>
    </w:p>
    <w:p w:rsidR="0069291F" w:rsidRPr="00071F74" w:rsidRDefault="0069291F" w:rsidP="00071F74">
      <w:pPr>
        <w:pStyle w:val="ConsPlusNormal"/>
        <w:jc w:val="both"/>
      </w:pPr>
    </w:p>
    <w:p w:rsidR="0069291F" w:rsidRPr="00071F74" w:rsidRDefault="0069291F" w:rsidP="00071F74">
      <w:pPr>
        <w:pStyle w:val="ConsPlusNormal"/>
        <w:jc w:val="both"/>
      </w:pPr>
    </w:p>
    <w:p w:rsidR="0069291F" w:rsidRPr="00071F74" w:rsidRDefault="0069291F" w:rsidP="00071F74">
      <w:pPr>
        <w:pStyle w:val="ConsPlusNormal"/>
        <w:jc w:val="both"/>
      </w:pPr>
    </w:p>
    <w:p w:rsidR="00662F4B" w:rsidRPr="00071F74" w:rsidRDefault="00662F4B" w:rsidP="00071F74">
      <w:pPr>
        <w:pStyle w:val="ConsPlusNormal"/>
        <w:jc w:val="both"/>
      </w:pPr>
    </w:p>
    <w:p w:rsidR="00662F4B" w:rsidRPr="00071F74" w:rsidRDefault="00662F4B" w:rsidP="00071F74">
      <w:pPr>
        <w:pStyle w:val="ConsPlusNormal"/>
        <w:jc w:val="both"/>
      </w:pPr>
    </w:p>
    <w:p w:rsidR="00071F74" w:rsidRDefault="00071F74">
      <w:pPr>
        <w:spacing w:after="200" w:line="276" w:lineRule="auto"/>
        <w:rPr>
          <w:rFonts w:ascii="Calibri" w:hAnsi="Calibri" w:cs="Calibri"/>
          <w:sz w:val="22"/>
          <w:szCs w:val="20"/>
        </w:rPr>
      </w:pPr>
      <w:r>
        <w:br w:type="page"/>
      </w:r>
    </w:p>
    <w:p w:rsidR="00662F4B" w:rsidRPr="00071F74" w:rsidRDefault="00662F4B" w:rsidP="00071F74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071F74">
        <w:rPr>
          <w:rFonts w:ascii="Times New Roman" w:hAnsi="Times New Roman" w:cs="Times New Roman"/>
          <w:sz w:val="20"/>
        </w:rPr>
        <w:lastRenderedPageBreak/>
        <w:t>Приложение № 2</w:t>
      </w:r>
    </w:p>
    <w:p w:rsidR="00662F4B" w:rsidRPr="00071F74" w:rsidRDefault="00662F4B" w:rsidP="00071F7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1F74">
        <w:rPr>
          <w:rFonts w:ascii="Times New Roman" w:hAnsi="Times New Roman" w:cs="Times New Roman"/>
          <w:sz w:val="20"/>
        </w:rPr>
        <w:t xml:space="preserve">к Методике оценки эффективности </w:t>
      </w:r>
    </w:p>
    <w:p w:rsidR="00662F4B" w:rsidRPr="00071F74" w:rsidRDefault="00662F4B" w:rsidP="00071F74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071F74">
        <w:rPr>
          <w:rFonts w:ascii="Times New Roman" w:hAnsi="Times New Roman" w:cs="Times New Roman"/>
          <w:b w:val="0"/>
          <w:sz w:val="20"/>
        </w:rPr>
        <w:t xml:space="preserve">налоговых расходов МОГО «Ухта», </w:t>
      </w:r>
    </w:p>
    <w:p w:rsidR="00662F4B" w:rsidRPr="00071F74" w:rsidRDefault="00662F4B" w:rsidP="00071F74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proofErr w:type="gramStart"/>
      <w:r w:rsidRPr="00071F74">
        <w:rPr>
          <w:rFonts w:ascii="Times New Roman" w:hAnsi="Times New Roman" w:cs="Times New Roman"/>
          <w:b w:val="0"/>
          <w:sz w:val="20"/>
        </w:rPr>
        <w:t>соответствующих</w:t>
      </w:r>
      <w:proofErr w:type="gramEnd"/>
      <w:r w:rsidRPr="00071F74">
        <w:rPr>
          <w:rFonts w:ascii="Times New Roman" w:hAnsi="Times New Roman" w:cs="Times New Roman"/>
          <w:b w:val="0"/>
          <w:sz w:val="20"/>
        </w:rPr>
        <w:t xml:space="preserve"> целям муниципальной </w:t>
      </w:r>
    </w:p>
    <w:p w:rsidR="00662F4B" w:rsidRPr="00071F74" w:rsidRDefault="00662F4B" w:rsidP="00071F74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071F74">
        <w:rPr>
          <w:rFonts w:ascii="Times New Roman" w:hAnsi="Times New Roman" w:cs="Times New Roman"/>
          <w:b w:val="0"/>
          <w:sz w:val="20"/>
        </w:rPr>
        <w:t xml:space="preserve">программы МОГО «Ухта» </w:t>
      </w:r>
    </w:p>
    <w:p w:rsidR="00662F4B" w:rsidRPr="00071F74" w:rsidRDefault="00662F4B" w:rsidP="00071F74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071F74">
        <w:rPr>
          <w:rFonts w:ascii="Times New Roman" w:hAnsi="Times New Roman" w:cs="Times New Roman"/>
          <w:b w:val="0"/>
          <w:sz w:val="20"/>
        </w:rPr>
        <w:t xml:space="preserve">в части оказания дополнительных мер </w:t>
      </w:r>
    </w:p>
    <w:p w:rsidR="00662F4B" w:rsidRPr="00071F74" w:rsidRDefault="00662F4B" w:rsidP="00071F74">
      <w:pPr>
        <w:pStyle w:val="ConsPlusTitle"/>
        <w:jc w:val="right"/>
        <w:rPr>
          <w:b w:val="0"/>
        </w:rPr>
      </w:pPr>
      <w:r w:rsidRPr="00071F74">
        <w:rPr>
          <w:rFonts w:ascii="Times New Roman" w:hAnsi="Times New Roman" w:cs="Times New Roman"/>
          <w:b w:val="0"/>
          <w:sz w:val="20"/>
        </w:rPr>
        <w:t>социальной поддержки граждан</w:t>
      </w:r>
    </w:p>
    <w:p w:rsidR="0069291F" w:rsidRPr="00071F74" w:rsidRDefault="0069291F" w:rsidP="00071F74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69291F" w:rsidRPr="00071F74" w:rsidRDefault="0069291F" w:rsidP="00071F74">
      <w:pPr>
        <w:pStyle w:val="ConsPlusNormal"/>
        <w:jc w:val="both"/>
      </w:pPr>
    </w:p>
    <w:p w:rsidR="0069291F" w:rsidRPr="00071F74" w:rsidRDefault="0069291F" w:rsidP="00071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09"/>
      <w:bookmarkEnd w:id="5"/>
      <w:r w:rsidRPr="00071F74">
        <w:rPr>
          <w:rFonts w:ascii="Times New Roman" w:hAnsi="Times New Roman" w:cs="Times New Roman"/>
          <w:sz w:val="24"/>
          <w:szCs w:val="24"/>
        </w:rPr>
        <w:t>П</w:t>
      </w:r>
      <w:r w:rsidR="000F14DA" w:rsidRPr="00071F74">
        <w:rPr>
          <w:rFonts w:ascii="Times New Roman" w:hAnsi="Times New Roman" w:cs="Times New Roman"/>
          <w:sz w:val="24"/>
          <w:szCs w:val="24"/>
        </w:rPr>
        <w:t>АСПОРТ НАЛОГОВОГО РАСХДА</w:t>
      </w:r>
      <w:r w:rsidRPr="00071F74">
        <w:rPr>
          <w:rFonts w:ascii="Times New Roman" w:hAnsi="Times New Roman" w:cs="Times New Roman"/>
          <w:sz w:val="24"/>
          <w:szCs w:val="24"/>
        </w:rPr>
        <w:t xml:space="preserve"> </w:t>
      </w:r>
      <w:r w:rsidR="0041692E" w:rsidRPr="00071F74">
        <w:rPr>
          <w:rFonts w:ascii="Times New Roman" w:hAnsi="Times New Roman" w:cs="Times New Roman"/>
          <w:sz w:val="24"/>
          <w:szCs w:val="24"/>
        </w:rPr>
        <w:t>МОГО «У</w:t>
      </w:r>
      <w:r w:rsidR="000F14DA" w:rsidRPr="00071F74">
        <w:rPr>
          <w:rFonts w:ascii="Times New Roman" w:hAnsi="Times New Roman" w:cs="Times New Roman"/>
          <w:sz w:val="24"/>
          <w:szCs w:val="24"/>
        </w:rPr>
        <w:t>ХТА</w:t>
      </w:r>
      <w:r w:rsidR="0041692E" w:rsidRPr="00071F74">
        <w:rPr>
          <w:rFonts w:ascii="Times New Roman" w:hAnsi="Times New Roman" w:cs="Times New Roman"/>
          <w:sz w:val="24"/>
          <w:szCs w:val="24"/>
        </w:rPr>
        <w:t>»</w:t>
      </w:r>
    </w:p>
    <w:p w:rsidR="0069291F" w:rsidRPr="00071F74" w:rsidRDefault="0069291F" w:rsidP="00071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1F74">
        <w:rPr>
          <w:rFonts w:ascii="Times New Roman" w:hAnsi="Times New Roman" w:cs="Times New Roman"/>
          <w:sz w:val="24"/>
          <w:szCs w:val="24"/>
        </w:rPr>
        <w:t>(наименование налогового расхода)</w:t>
      </w:r>
    </w:p>
    <w:p w:rsidR="0069291F" w:rsidRPr="00071F74" w:rsidRDefault="0069291F" w:rsidP="00071F74">
      <w:pPr>
        <w:pStyle w:val="ConsPlusNormal"/>
        <w:jc w:val="both"/>
      </w:pPr>
    </w:p>
    <w:p w:rsidR="0041692E" w:rsidRPr="00071F74" w:rsidRDefault="0041692E" w:rsidP="00071F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2976"/>
        <w:gridCol w:w="2268"/>
      </w:tblGrid>
      <w:tr w:rsidR="0041692E" w:rsidRPr="00071F74" w:rsidTr="0041692E">
        <w:tc>
          <w:tcPr>
            <w:tcW w:w="7007" w:type="dxa"/>
            <w:gridSpan w:val="3"/>
          </w:tcPr>
          <w:p w:rsidR="0041692E" w:rsidRPr="00071F74" w:rsidRDefault="0041692E" w:rsidP="00071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41692E" w:rsidRPr="00071F74" w:rsidTr="0041692E">
        <w:tc>
          <w:tcPr>
            <w:tcW w:w="9275" w:type="dxa"/>
            <w:gridSpan w:val="4"/>
          </w:tcPr>
          <w:p w:rsidR="0041692E" w:rsidRPr="00071F74" w:rsidRDefault="0041692E" w:rsidP="00071F7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I. Нормативные характеристики налоговых расходов МОГО «Ухта»</w:t>
            </w:r>
          </w:p>
        </w:tc>
      </w:tr>
      <w:tr w:rsidR="0041692E" w:rsidRPr="00071F74" w:rsidTr="0041692E">
        <w:trPr>
          <w:trHeight w:val="2269"/>
        </w:trPr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Наименования налогов, по которым предусматриваются налоговые льготы, освобождения и иные преференции по налогам, установленные муниципальными правовыми актами МОГО «Ухта»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 МОГО «Ухта»</w:t>
            </w:r>
          </w:p>
        </w:tc>
      </w:tr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Муниципальные правовые акты МОГО «Ухта»,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 МОГО «Ухта»</w:t>
            </w:r>
          </w:p>
        </w:tc>
      </w:tr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установленные муниципальными правовыми актами МОГО «Ухта»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отдел </w:t>
            </w:r>
          </w:p>
        </w:tc>
      </w:tr>
      <w:tr w:rsidR="0041692E" w:rsidRPr="00071F74" w:rsidTr="00071F74">
        <w:trPr>
          <w:trHeight w:val="2241"/>
        </w:trPr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 по налогам, установленные муниципальными правовыми актами МОГО «Ухта»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Социальный отдел</w:t>
            </w:r>
          </w:p>
        </w:tc>
      </w:tr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положений муниципальных правовых актов МОГО «Ухта», устанавливающих налоговые льготы, освобождения и иные преференции по налогам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Социальный отдел</w:t>
            </w:r>
          </w:p>
        </w:tc>
      </w:tr>
    </w:tbl>
    <w:p w:rsidR="00071F74" w:rsidRDefault="00071F74" w:rsidP="00071F74">
      <w:pPr>
        <w:jc w:val="center"/>
      </w:pPr>
      <w:r>
        <w:lastRenderedPageBreak/>
        <w:t>2</w:t>
      </w:r>
    </w:p>
    <w:p w:rsidR="00071F74" w:rsidRDefault="00071F74" w:rsidP="00071F74">
      <w:pPr>
        <w:jc w:val="center"/>
      </w:pP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2976"/>
        <w:gridCol w:w="2268"/>
      </w:tblGrid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Даты начала действия, предоставленного муниципальными правовыми актами МОГО «Ухта» права на налоговые льготы, освобождения и иные преференции по налогам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Социальный отдел</w:t>
            </w:r>
          </w:p>
        </w:tc>
      </w:tr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Период действия налоговых льгот, освобождений и иных преференций по налогам, предоставленных муниципальными правовыми актами МОГО «Ухта»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Социальный отдел</w:t>
            </w:r>
          </w:p>
        </w:tc>
      </w:tr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Дата прекращения действия налоговых льгот, освобождений и иных преференций по налогам, установленная муниципальными правовыми актами МОГО «Ухта»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Социальный отдел</w:t>
            </w:r>
          </w:p>
        </w:tc>
      </w:tr>
      <w:tr w:rsidR="0041692E" w:rsidRPr="00071F74" w:rsidTr="0041692E">
        <w:tc>
          <w:tcPr>
            <w:tcW w:w="9275" w:type="dxa"/>
            <w:gridSpan w:val="4"/>
          </w:tcPr>
          <w:p w:rsidR="0041692E" w:rsidRPr="00071F74" w:rsidRDefault="0041692E" w:rsidP="00071F7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II. Целевые характеристики налоговых расходов МОГО «Ухта»</w:t>
            </w:r>
          </w:p>
        </w:tc>
      </w:tr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Социальный отдел</w:t>
            </w:r>
          </w:p>
        </w:tc>
      </w:tr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 МОГО «Ухта»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Социальный отдел</w:t>
            </w:r>
          </w:p>
        </w:tc>
      </w:tr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установленных муниципальными правовыми актами МОГО «Ухта»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Социальный отдел</w:t>
            </w:r>
          </w:p>
        </w:tc>
      </w:tr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 по налогам,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Социальный отдел</w:t>
            </w:r>
          </w:p>
        </w:tc>
      </w:tr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Социальный отдел</w:t>
            </w:r>
          </w:p>
        </w:tc>
      </w:tr>
    </w:tbl>
    <w:p w:rsidR="00071F74" w:rsidRDefault="00071F74"/>
    <w:p w:rsidR="00071F74" w:rsidRDefault="00071F74" w:rsidP="00071F74">
      <w:pPr>
        <w:jc w:val="center"/>
      </w:pPr>
      <w:r>
        <w:lastRenderedPageBreak/>
        <w:t>3</w:t>
      </w:r>
    </w:p>
    <w:p w:rsidR="00071F74" w:rsidRDefault="00071F74"/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2976"/>
        <w:gridCol w:w="2268"/>
      </w:tblGrid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муниципальных программ МОГО «Ухта», наименования нормативных правовых актов МОГО «Ухта», определяющих цели социально-экономической политики МОГО «Ухта», не относящиеся к муниципальным программам МОГО «Ухта», в </w:t>
            </w:r>
            <w:proofErr w:type="gramStart"/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071F7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которых предоставляются налоговые льготы, освобождения и иные преференции по налогам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 МОГО «Ухта»</w:t>
            </w:r>
          </w:p>
        </w:tc>
      </w:tr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структурных элементов муниципальных программ МОГО «Ухта», в </w:t>
            </w:r>
            <w:proofErr w:type="gramStart"/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071F7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которых предоставляются налоговые льготы, освобождения и иные преференции по налогам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 МОГО «Ухта»</w:t>
            </w:r>
          </w:p>
        </w:tc>
      </w:tr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МОГО «Ухта» и (или) целей социально-экономической политики МОГО «Ухта», не относящихся к муниципальным программам МОГО «Ухта», в связи с предоставлением налоговых льгот, освобождений и иных преференций по налогам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Социальный отдел</w:t>
            </w:r>
          </w:p>
        </w:tc>
      </w:tr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(индикаторов) достижения целей муниципальных программ МОГО «Ухта» и (или) целей социально-экономической политики МОГО «Ухта», не относящихся к муниципальным программам МОГО «Ухта», в связи с предоставлением налоговых льгот, освобождений и иных преференций по налогам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Социальный отдел</w:t>
            </w:r>
          </w:p>
        </w:tc>
      </w:tr>
    </w:tbl>
    <w:p w:rsidR="00071F74" w:rsidRDefault="00071F74"/>
    <w:p w:rsidR="00071F74" w:rsidRDefault="00071F74"/>
    <w:p w:rsidR="00071F74" w:rsidRDefault="00071F74"/>
    <w:p w:rsidR="00071F74" w:rsidRDefault="00071F74"/>
    <w:p w:rsidR="00071F74" w:rsidRDefault="00071F74"/>
    <w:p w:rsidR="00071F74" w:rsidRDefault="00071F74"/>
    <w:p w:rsidR="00071F74" w:rsidRDefault="00071F74"/>
    <w:p w:rsidR="00071F74" w:rsidRDefault="00071F74"/>
    <w:p w:rsidR="00071F74" w:rsidRDefault="00071F74" w:rsidP="00071F74">
      <w:pPr>
        <w:jc w:val="center"/>
      </w:pPr>
      <w:r>
        <w:lastRenderedPageBreak/>
        <w:t>4</w:t>
      </w:r>
    </w:p>
    <w:p w:rsidR="00071F74" w:rsidRDefault="00071F74"/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2976"/>
        <w:gridCol w:w="2268"/>
      </w:tblGrid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Прогнозные (оценочные) значения показателей (индикаторов) достижения целей муниципальных программ МОГО «Ухта» и (или) целей социально-экономической политики МОГО «Ухта», не относящихся к муниципальным программам МОГО «Ухта», в связи с предоставлением налоговых льгот, освобождений и иных преференций по налогам на текущий финансовый год, очередной финансовый год и плановый период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Социальный отдел</w:t>
            </w:r>
          </w:p>
        </w:tc>
      </w:tr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Код вида экономической деятельности (</w:t>
            </w:r>
            <w:r w:rsidRPr="00071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hyperlink r:id="rId13" w:history="1">
              <w:r w:rsidRPr="00071F7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</w:hyperlink>
            <w:r w:rsidRPr="00071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 xml:space="preserve"> к которому относится налоговый расход МОГО "Ухта" (если налоговый расход обусловлен налоговыми льготами, освобождениями и иными преференциями по налогам для отдельных видов экономической деятельности)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Социальный отдел</w:t>
            </w:r>
          </w:p>
        </w:tc>
      </w:tr>
      <w:tr w:rsidR="0041692E" w:rsidRPr="00071F74" w:rsidTr="0041692E">
        <w:tc>
          <w:tcPr>
            <w:tcW w:w="9275" w:type="dxa"/>
            <w:gridSpan w:val="4"/>
          </w:tcPr>
          <w:p w:rsidR="0041692E" w:rsidRPr="00071F74" w:rsidRDefault="0041692E" w:rsidP="00071F7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III. Фискальные характеристики налогового расхода МОГО «Ухта»</w:t>
            </w:r>
          </w:p>
        </w:tc>
      </w:tr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МОГО «Ухта» за отчетный финансовый год и за год, предшествующий отчетному финансовому году (тыс. рублей)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</w:p>
        </w:tc>
      </w:tr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Социальный отдел</w:t>
            </w:r>
          </w:p>
        </w:tc>
      </w:tr>
    </w:tbl>
    <w:p w:rsidR="00071F74" w:rsidRDefault="00071F74"/>
    <w:p w:rsidR="00071F74" w:rsidRDefault="00071F74"/>
    <w:p w:rsidR="00071F74" w:rsidRDefault="00071F74"/>
    <w:p w:rsidR="00071F74" w:rsidRDefault="00071F74"/>
    <w:p w:rsidR="00071F74" w:rsidRDefault="00071F74"/>
    <w:p w:rsidR="00071F74" w:rsidRDefault="00071F74" w:rsidP="00071F74">
      <w:pPr>
        <w:jc w:val="center"/>
      </w:pPr>
      <w:r>
        <w:lastRenderedPageBreak/>
        <w:t>5</w:t>
      </w:r>
    </w:p>
    <w:p w:rsidR="00071F74" w:rsidRDefault="00071F74"/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2976"/>
        <w:gridCol w:w="2268"/>
      </w:tblGrid>
      <w:tr w:rsidR="0041692E" w:rsidRPr="00071F74" w:rsidTr="0041692E">
        <w:tc>
          <w:tcPr>
            <w:tcW w:w="510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21" w:type="dxa"/>
          </w:tcPr>
          <w:p w:rsidR="0041692E" w:rsidRPr="00071F74" w:rsidRDefault="0041692E" w:rsidP="00071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МОГО «Ухта»</w:t>
            </w:r>
          </w:p>
        </w:tc>
        <w:tc>
          <w:tcPr>
            <w:tcW w:w="2976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92E" w:rsidRPr="00071F74" w:rsidRDefault="0041692E" w:rsidP="0007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F74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</w:p>
        </w:tc>
      </w:tr>
    </w:tbl>
    <w:p w:rsidR="0041692E" w:rsidRPr="00071F74" w:rsidRDefault="0041692E" w:rsidP="00071F74">
      <w:pPr>
        <w:pStyle w:val="ConsPlusNormal"/>
      </w:pPr>
    </w:p>
    <w:p w:rsidR="0041692E" w:rsidRPr="00071F74" w:rsidRDefault="0041692E" w:rsidP="00071F74">
      <w:pPr>
        <w:pStyle w:val="ConsPlusNormal"/>
      </w:pPr>
    </w:p>
    <w:p w:rsidR="0041692E" w:rsidRPr="00071F74" w:rsidRDefault="00071F74" w:rsidP="00071F74">
      <w:pPr>
        <w:pStyle w:val="ConsPlusNormal"/>
        <w:jc w:val="center"/>
      </w:pPr>
      <w:r>
        <w:t>_____________________________</w:t>
      </w:r>
    </w:p>
    <w:p w:rsidR="0041692E" w:rsidRPr="00071F74" w:rsidRDefault="0041692E" w:rsidP="00071F74">
      <w:pPr>
        <w:pStyle w:val="ConsPlusNormal"/>
      </w:pPr>
    </w:p>
    <w:p w:rsidR="00875295" w:rsidRPr="00071F74" w:rsidRDefault="00875295" w:rsidP="00071F74">
      <w:pPr>
        <w:rPr>
          <w:sz w:val="28"/>
          <w:szCs w:val="28"/>
        </w:rPr>
      </w:pPr>
    </w:p>
    <w:sectPr w:rsidR="00875295" w:rsidRPr="00071F74" w:rsidSect="00071F74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933FC"/>
    <w:multiLevelType w:val="hybridMultilevel"/>
    <w:tmpl w:val="4C803BE4"/>
    <w:lvl w:ilvl="0" w:tplc="28C0B646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56A"/>
    <w:rsid w:val="00002546"/>
    <w:rsid w:val="0000499E"/>
    <w:rsid w:val="00017FC4"/>
    <w:rsid w:val="000206FB"/>
    <w:rsid w:val="00021615"/>
    <w:rsid w:val="00023E42"/>
    <w:rsid w:val="000259FB"/>
    <w:rsid w:val="00027BB4"/>
    <w:rsid w:val="00053DF2"/>
    <w:rsid w:val="00057B80"/>
    <w:rsid w:val="0006135F"/>
    <w:rsid w:val="000678C7"/>
    <w:rsid w:val="00070BB5"/>
    <w:rsid w:val="00071F74"/>
    <w:rsid w:val="00073D43"/>
    <w:rsid w:val="00077AF8"/>
    <w:rsid w:val="00081B25"/>
    <w:rsid w:val="00082331"/>
    <w:rsid w:val="00082940"/>
    <w:rsid w:val="00095D86"/>
    <w:rsid w:val="00096702"/>
    <w:rsid w:val="0009739A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4F2"/>
    <w:rsid w:val="000C6676"/>
    <w:rsid w:val="000D5F1D"/>
    <w:rsid w:val="000E42FB"/>
    <w:rsid w:val="000E7232"/>
    <w:rsid w:val="000F14DA"/>
    <w:rsid w:val="000F503B"/>
    <w:rsid w:val="001024C3"/>
    <w:rsid w:val="00102AF8"/>
    <w:rsid w:val="001039D7"/>
    <w:rsid w:val="00104B52"/>
    <w:rsid w:val="00105143"/>
    <w:rsid w:val="001052A2"/>
    <w:rsid w:val="00106418"/>
    <w:rsid w:val="00106A16"/>
    <w:rsid w:val="0011337C"/>
    <w:rsid w:val="00115FC2"/>
    <w:rsid w:val="00116C18"/>
    <w:rsid w:val="00124509"/>
    <w:rsid w:val="001278AA"/>
    <w:rsid w:val="00132BA0"/>
    <w:rsid w:val="001408CD"/>
    <w:rsid w:val="0014097A"/>
    <w:rsid w:val="00144D37"/>
    <w:rsid w:val="0015188B"/>
    <w:rsid w:val="0015251E"/>
    <w:rsid w:val="00154644"/>
    <w:rsid w:val="00155343"/>
    <w:rsid w:val="001564B7"/>
    <w:rsid w:val="001610F7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A6B1C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471C"/>
    <w:rsid w:val="001E54ED"/>
    <w:rsid w:val="001E5E52"/>
    <w:rsid w:val="001F0DC5"/>
    <w:rsid w:val="001F7C1B"/>
    <w:rsid w:val="002062E3"/>
    <w:rsid w:val="00206FB2"/>
    <w:rsid w:val="00207B13"/>
    <w:rsid w:val="002106FC"/>
    <w:rsid w:val="00210D87"/>
    <w:rsid w:val="002117AE"/>
    <w:rsid w:val="00214DE6"/>
    <w:rsid w:val="00215856"/>
    <w:rsid w:val="002224B0"/>
    <w:rsid w:val="00226C60"/>
    <w:rsid w:val="00226E82"/>
    <w:rsid w:val="00227111"/>
    <w:rsid w:val="002334B0"/>
    <w:rsid w:val="002344A5"/>
    <w:rsid w:val="002508EE"/>
    <w:rsid w:val="0025116F"/>
    <w:rsid w:val="0025229C"/>
    <w:rsid w:val="00252352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929BA"/>
    <w:rsid w:val="0029484F"/>
    <w:rsid w:val="00297149"/>
    <w:rsid w:val="002A0703"/>
    <w:rsid w:val="002A0E40"/>
    <w:rsid w:val="002A17E0"/>
    <w:rsid w:val="002A2086"/>
    <w:rsid w:val="002A28C0"/>
    <w:rsid w:val="002A5664"/>
    <w:rsid w:val="002A5EDA"/>
    <w:rsid w:val="002B19C9"/>
    <w:rsid w:val="002B6644"/>
    <w:rsid w:val="002B749F"/>
    <w:rsid w:val="002C023E"/>
    <w:rsid w:val="002C07D5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D1D"/>
    <w:rsid w:val="00324CDE"/>
    <w:rsid w:val="003263A1"/>
    <w:rsid w:val="00326F9D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47E3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E9E"/>
    <w:rsid w:val="003D0873"/>
    <w:rsid w:val="003D41D8"/>
    <w:rsid w:val="003E2CFD"/>
    <w:rsid w:val="003E4F4B"/>
    <w:rsid w:val="003E69D7"/>
    <w:rsid w:val="003F1DF9"/>
    <w:rsid w:val="003F38A2"/>
    <w:rsid w:val="00401620"/>
    <w:rsid w:val="00403A93"/>
    <w:rsid w:val="0040450B"/>
    <w:rsid w:val="00414E0C"/>
    <w:rsid w:val="0041692E"/>
    <w:rsid w:val="0041774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57B4"/>
    <w:rsid w:val="00470B9F"/>
    <w:rsid w:val="0047170A"/>
    <w:rsid w:val="00481F62"/>
    <w:rsid w:val="00485BD9"/>
    <w:rsid w:val="0049301C"/>
    <w:rsid w:val="0049511C"/>
    <w:rsid w:val="00495FD4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C05"/>
    <w:rsid w:val="004D414C"/>
    <w:rsid w:val="004D7738"/>
    <w:rsid w:val="004E281F"/>
    <w:rsid w:val="004E69A2"/>
    <w:rsid w:val="004F0078"/>
    <w:rsid w:val="004F3D22"/>
    <w:rsid w:val="004F4FE0"/>
    <w:rsid w:val="00504DEC"/>
    <w:rsid w:val="0050715C"/>
    <w:rsid w:val="00507696"/>
    <w:rsid w:val="00513082"/>
    <w:rsid w:val="005158E6"/>
    <w:rsid w:val="00520133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3554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254A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20A4E"/>
    <w:rsid w:val="00620F66"/>
    <w:rsid w:val="00622614"/>
    <w:rsid w:val="00625466"/>
    <w:rsid w:val="00626346"/>
    <w:rsid w:val="006375FD"/>
    <w:rsid w:val="00641AAD"/>
    <w:rsid w:val="00655D9F"/>
    <w:rsid w:val="00655EBB"/>
    <w:rsid w:val="0065692A"/>
    <w:rsid w:val="00662F4B"/>
    <w:rsid w:val="00663668"/>
    <w:rsid w:val="00663CFB"/>
    <w:rsid w:val="00667DB5"/>
    <w:rsid w:val="006727CE"/>
    <w:rsid w:val="00676C4A"/>
    <w:rsid w:val="00677253"/>
    <w:rsid w:val="006819A1"/>
    <w:rsid w:val="006822D4"/>
    <w:rsid w:val="006834FA"/>
    <w:rsid w:val="0068776E"/>
    <w:rsid w:val="0069291F"/>
    <w:rsid w:val="006954B5"/>
    <w:rsid w:val="00696C4F"/>
    <w:rsid w:val="00697FC0"/>
    <w:rsid w:val="006A01A4"/>
    <w:rsid w:val="006B1B62"/>
    <w:rsid w:val="006C7F1B"/>
    <w:rsid w:val="006D3B0F"/>
    <w:rsid w:val="006E4879"/>
    <w:rsid w:val="006E4BE0"/>
    <w:rsid w:val="006E694F"/>
    <w:rsid w:val="006F02CF"/>
    <w:rsid w:val="006F0811"/>
    <w:rsid w:val="006F25E2"/>
    <w:rsid w:val="006F6167"/>
    <w:rsid w:val="0070364A"/>
    <w:rsid w:val="00706E07"/>
    <w:rsid w:val="00707CD9"/>
    <w:rsid w:val="00711231"/>
    <w:rsid w:val="007175EA"/>
    <w:rsid w:val="00717605"/>
    <w:rsid w:val="0072198A"/>
    <w:rsid w:val="0072203B"/>
    <w:rsid w:val="00723414"/>
    <w:rsid w:val="00723E59"/>
    <w:rsid w:val="00724CEF"/>
    <w:rsid w:val="00725495"/>
    <w:rsid w:val="0073632F"/>
    <w:rsid w:val="00740032"/>
    <w:rsid w:val="00742FFA"/>
    <w:rsid w:val="00743AD8"/>
    <w:rsid w:val="00745788"/>
    <w:rsid w:val="00745F7A"/>
    <w:rsid w:val="00754751"/>
    <w:rsid w:val="00760197"/>
    <w:rsid w:val="00760F40"/>
    <w:rsid w:val="00763682"/>
    <w:rsid w:val="00763874"/>
    <w:rsid w:val="00763D5D"/>
    <w:rsid w:val="007642B7"/>
    <w:rsid w:val="007647DE"/>
    <w:rsid w:val="00764CDB"/>
    <w:rsid w:val="007650C5"/>
    <w:rsid w:val="007731FE"/>
    <w:rsid w:val="007771B0"/>
    <w:rsid w:val="00787851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800F9F"/>
    <w:rsid w:val="00801EDA"/>
    <w:rsid w:val="00806BDC"/>
    <w:rsid w:val="008105FA"/>
    <w:rsid w:val="0081136F"/>
    <w:rsid w:val="008121CB"/>
    <w:rsid w:val="0081338C"/>
    <w:rsid w:val="00815142"/>
    <w:rsid w:val="00816CE7"/>
    <w:rsid w:val="00820DEB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60482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1917"/>
    <w:rsid w:val="008929BF"/>
    <w:rsid w:val="008979CC"/>
    <w:rsid w:val="008A0AD3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C0DF8"/>
    <w:rsid w:val="008C17C8"/>
    <w:rsid w:val="008C254F"/>
    <w:rsid w:val="008C3F8B"/>
    <w:rsid w:val="008C4097"/>
    <w:rsid w:val="008C48B6"/>
    <w:rsid w:val="008C4A5B"/>
    <w:rsid w:val="008C6F3F"/>
    <w:rsid w:val="008D0DDB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3585"/>
    <w:rsid w:val="00913C9B"/>
    <w:rsid w:val="00914CC2"/>
    <w:rsid w:val="00916E81"/>
    <w:rsid w:val="0092257F"/>
    <w:rsid w:val="009238D4"/>
    <w:rsid w:val="0093728F"/>
    <w:rsid w:val="00941293"/>
    <w:rsid w:val="00941C26"/>
    <w:rsid w:val="00946143"/>
    <w:rsid w:val="00950572"/>
    <w:rsid w:val="009517B6"/>
    <w:rsid w:val="00953A89"/>
    <w:rsid w:val="00954D1D"/>
    <w:rsid w:val="00955603"/>
    <w:rsid w:val="00957240"/>
    <w:rsid w:val="00957328"/>
    <w:rsid w:val="00964666"/>
    <w:rsid w:val="009678B3"/>
    <w:rsid w:val="0097329C"/>
    <w:rsid w:val="00975987"/>
    <w:rsid w:val="009767D8"/>
    <w:rsid w:val="00976E5B"/>
    <w:rsid w:val="009777D9"/>
    <w:rsid w:val="00983ED0"/>
    <w:rsid w:val="00993111"/>
    <w:rsid w:val="0099571A"/>
    <w:rsid w:val="0099596E"/>
    <w:rsid w:val="00996291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6AA8"/>
    <w:rsid w:val="00A276C5"/>
    <w:rsid w:val="00A32C70"/>
    <w:rsid w:val="00A32E45"/>
    <w:rsid w:val="00A35A52"/>
    <w:rsid w:val="00A40FE6"/>
    <w:rsid w:val="00A41FF5"/>
    <w:rsid w:val="00A4561A"/>
    <w:rsid w:val="00A462C4"/>
    <w:rsid w:val="00A502D5"/>
    <w:rsid w:val="00A539DC"/>
    <w:rsid w:val="00A54504"/>
    <w:rsid w:val="00A57C98"/>
    <w:rsid w:val="00A63BCA"/>
    <w:rsid w:val="00A664A9"/>
    <w:rsid w:val="00A8331B"/>
    <w:rsid w:val="00A83C35"/>
    <w:rsid w:val="00A85469"/>
    <w:rsid w:val="00A90080"/>
    <w:rsid w:val="00A90392"/>
    <w:rsid w:val="00A92AFC"/>
    <w:rsid w:val="00A933FC"/>
    <w:rsid w:val="00AA08F6"/>
    <w:rsid w:val="00AA14DE"/>
    <w:rsid w:val="00AA1D32"/>
    <w:rsid w:val="00AA292B"/>
    <w:rsid w:val="00AA29F5"/>
    <w:rsid w:val="00AA2FB5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E3B97"/>
    <w:rsid w:val="00AE6833"/>
    <w:rsid w:val="00AF685D"/>
    <w:rsid w:val="00B03682"/>
    <w:rsid w:val="00B10233"/>
    <w:rsid w:val="00B144BB"/>
    <w:rsid w:val="00B1456B"/>
    <w:rsid w:val="00B15B15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A24C7"/>
    <w:rsid w:val="00BA4EEC"/>
    <w:rsid w:val="00BB4A5E"/>
    <w:rsid w:val="00BB5C29"/>
    <w:rsid w:val="00BB68BF"/>
    <w:rsid w:val="00BB6E43"/>
    <w:rsid w:val="00BB74FB"/>
    <w:rsid w:val="00BC48DE"/>
    <w:rsid w:val="00BC4D2A"/>
    <w:rsid w:val="00BC7B41"/>
    <w:rsid w:val="00BD1CA5"/>
    <w:rsid w:val="00BD2391"/>
    <w:rsid w:val="00BD604C"/>
    <w:rsid w:val="00BF4459"/>
    <w:rsid w:val="00BF6A2E"/>
    <w:rsid w:val="00C00068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6041"/>
    <w:rsid w:val="00C26528"/>
    <w:rsid w:val="00C26B2C"/>
    <w:rsid w:val="00C27F2C"/>
    <w:rsid w:val="00C3089D"/>
    <w:rsid w:val="00C31D39"/>
    <w:rsid w:val="00C32756"/>
    <w:rsid w:val="00C35176"/>
    <w:rsid w:val="00C376D8"/>
    <w:rsid w:val="00C45E87"/>
    <w:rsid w:val="00C471CA"/>
    <w:rsid w:val="00C478D5"/>
    <w:rsid w:val="00C575BA"/>
    <w:rsid w:val="00C61DD9"/>
    <w:rsid w:val="00C6773F"/>
    <w:rsid w:val="00C67C63"/>
    <w:rsid w:val="00C7199F"/>
    <w:rsid w:val="00C73547"/>
    <w:rsid w:val="00C7364C"/>
    <w:rsid w:val="00C74972"/>
    <w:rsid w:val="00C7652B"/>
    <w:rsid w:val="00C85CAD"/>
    <w:rsid w:val="00C868EA"/>
    <w:rsid w:val="00C90FDE"/>
    <w:rsid w:val="00C92D15"/>
    <w:rsid w:val="00C93A30"/>
    <w:rsid w:val="00C946B0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6155"/>
    <w:rsid w:val="00CE66BF"/>
    <w:rsid w:val="00CE699A"/>
    <w:rsid w:val="00CF0785"/>
    <w:rsid w:val="00CF3B49"/>
    <w:rsid w:val="00D00256"/>
    <w:rsid w:val="00D0579C"/>
    <w:rsid w:val="00D05C61"/>
    <w:rsid w:val="00D06D61"/>
    <w:rsid w:val="00D073AD"/>
    <w:rsid w:val="00D17D33"/>
    <w:rsid w:val="00D23977"/>
    <w:rsid w:val="00D26E60"/>
    <w:rsid w:val="00D2701D"/>
    <w:rsid w:val="00D2786A"/>
    <w:rsid w:val="00D31A86"/>
    <w:rsid w:val="00D3263E"/>
    <w:rsid w:val="00D32CF2"/>
    <w:rsid w:val="00D32EA5"/>
    <w:rsid w:val="00D34A3D"/>
    <w:rsid w:val="00D34AC1"/>
    <w:rsid w:val="00D374BB"/>
    <w:rsid w:val="00D37B94"/>
    <w:rsid w:val="00D46CED"/>
    <w:rsid w:val="00D570AA"/>
    <w:rsid w:val="00D72AFA"/>
    <w:rsid w:val="00D73373"/>
    <w:rsid w:val="00D740FE"/>
    <w:rsid w:val="00D75ECF"/>
    <w:rsid w:val="00D8550C"/>
    <w:rsid w:val="00D8569F"/>
    <w:rsid w:val="00D86244"/>
    <w:rsid w:val="00D876ED"/>
    <w:rsid w:val="00D910CD"/>
    <w:rsid w:val="00D95F96"/>
    <w:rsid w:val="00DA62E4"/>
    <w:rsid w:val="00DB2BA6"/>
    <w:rsid w:val="00DB2BC5"/>
    <w:rsid w:val="00DB3576"/>
    <w:rsid w:val="00DC1DD2"/>
    <w:rsid w:val="00DC34CF"/>
    <w:rsid w:val="00DC4E7B"/>
    <w:rsid w:val="00DD135F"/>
    <w:rsid w:val="00DD3893"/>
    <w:rsid w:val="00DE4DEE"/>
    <w:rsid w:val="00DE77E0"/>
    <w:rsid w:val="00DF61C3"/>
    <w:rsid w:val="00E10DF0"/>
    <w:rsid w:val="00E15811"/>
    <w:rsid w:val="00E25EFF"/>
    <w:rsid w:val="00E304F7"/>
    <w:rsid w:val="00E30EF4"/>
    <w:rsid w:val="00E373A6"/>
    <w:rsid w:val="00E40C41"/>
    <w:rsid w:val="00E41A38"/>
    <w:rsid w:val="00E44F95"/>
    <w:rsid w:val="00E52704"/>
    <w:rsid w:val="00E52B8E"/>
    <w:rsid w:val="00E5325E"/>
    <w:rsid w:val="00E560D4"/>
    <w:rsid w:val="00E6175B"/>
    <w:rsid w:val="00E67E90"/>
    <w:rsid w:val="00E833C3"/>
    <w:rsid w:val="00E8362E"/>
    <w:rsid w:val="00E87757"/>
    <w:rsid w:val="00E9278B"/>
    <w:rsid w:val="00E92F7F"/>
    <w:rsid w:val="00EA0D10"/>
    <w:rsid w:val="00EA50CA"/>
    <w:rsid w:val="00EA7622"/>
    <w:rsid w:val="00EB3A85"/>
    <w:rsid w:val="00EB43E1"/>
    <w:rsid w:val="00EC047C"/>
    <w:rsid w:val="00EC6323"/>
    <w:rsid w:val="00EC782F"/>
    <w:rsid w:val="00ED2C4E"/>
    <w:rsid w:val="00ED35E0"/>
    <w:rsid w:val="00ED3E16"/>
    <w:rsid w:val="00ED48D0"/>
    <w:rsid w:val="00EE45E2"/>
    <w:rsid w:val="00EF6FA4"/>
    <w:rsid w:val="00F0518A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415F"/>
    <w:rsid w:val="00F55959"/>
    <w:rsid w:val="00F56008"/>
    <w:rsid w:val="00F60B9E"/>
    <w:rsid w:val="00F62511"/>
    <w:rsid w:val="00F66DD0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A6910"/>
    <w:rsid w:val="00FB1A00"/>
    <w:rsid w:val="00FB4BAE"/>
    <w:rsid w:val="00FB4CBA"/>
    <w:rsid w:val="00FB5370"/>
    <w:rsid w:val="00FB648B"/>
    <w:rsid w:val="00FC3DCE"/>
    <w:rsid w:val="00FC4C75"/>
    <w:rsid w:val="00FC762D"/>
    <w:rsid w:val="00FD446E"/>
    <w:rsid w:val="00FE3E7E"/>
    <w:rsid w:val="00FE4B37"/>
    <w:rsid w:val="00FE6FC8"/>
    <w:rsid w:val="00FF0F7B"/>
    <w:rsid w:val="00FF2302"/>
    <w:rsid w:val="00FF51DF"/>
    <w:rsid w:val="00FF61D0"/>
    <w:rsid w:val="00FF6761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92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2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59"/>
    <w:rsid w:val="00692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84DE05D9B643ACD4A30087A7F293825EFDEB2BEAFB04A6799C7F3B77DC58748EFBBC42DDB5BF7218D21119EB4EDF4585E55BF74C20EB25g96CL" TargetMode="External"/><Relationship Id="rId13" Type="http://schemas.openxmlformats.org/officeDocument/2006/relationships/hyperlink" Target="consultantplus://offline/ref=93338FA0A6903C96494481EF06063306B53677355B45E041C4BB370820C0DDDD2BAFA96FD739DC6EF3D80A1B6855l8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284DE05D9B643ACD4A30087A7F293825EFDEB2BEAFB04A6799C7F3B77DC58748EFBBC42DDB5BF721BD21119EB4EDF4585E55BF74C20EB25g96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84DE05D9B643ACD4A30087A7F293825EFDEB2BEAFB04A6799C7F3B77DC58748EFBBC42DDB5BF721BD21119EB4EDF4585E55BF74C20EB25g96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9D02C-9C9B-4E35-A9EE-764798C3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13</Pages>
  <Words>3578</Words>
  <Characters>20396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70</cp:revision>
  <cp:lastPrinted>2022-01-24T08:43:00Z</cp:lastPrinted>
  <dcterms:created xsi:type="dcterms:W3CDTF">2018-02-27T12:24:00Z</dcterms:created>
  <dcterms:modified xsi:type="dcterms:W3CDTF">2022-01-24T08:43:00Z</dcterms:modified>
</cp:coreProperties>
</file>